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6323B" w14:textId="77777777" w:rsidR="00C9652A" w:rsidRDefault="00590FD5" w:rsidP="00C60D44">
      <w:pPr>
        <w:widowControl w:val="0"/>
        <w:tabs>
          <w:tab w:val="left" w:pos="560"/>
          <w:tab w:val="left" w:pos="1120"/>
          <w:tab w:val="left" w:pos="1680"/>
          <w:tab w:val="left" w:pos="2240"/>
          <w:tab w:val="left" w:pos="2800"/>
          <w:tab w:val="left" w:pos="306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rPr>
      </w:pPr>
      <w:r w:rsidRPr="00C976E9">
        <w:rPr>
          <w:rFonts w:ascii="Times New Roman" w:hAnsi="Times New Roman"/>
          <w:b/>
          <w:bCs/>
        </w:rPr>
        <w:t>Tunable pH-responsive sulfonamide-based polymers via RAFT</w:t>
      </w:r>
      <w:r w:rsidR="00BE1C6B" w:rsidRPr="00C976E9">
        <w:rPr>
          <w:rFonts w:ascii="Times New Roman" w:hAnsi="Times New Roman"/>
          <w:b/>
          <w:bCs/>
        </w:rPr>
        <w:t xml:space="preserve"> polymerization</w:t>
      </w:r>
    </w:p>
    <w:p w14:paraId="4EF1B4E9" w14:textId="77777777" w:rsidR="00590FD5" w:rsidRPr="00C976E9" w:rsidRDefault="00590FD5" w:rsidP="00C60D44">
      <w:pPr>
        <w:widowControl w:val="0"/>
        <w:tabs>
          <w:tab w:val="left" w:pos="560"/>
          <w:tab w:val="left" w:pos="1120"/>
          <w:tab w:val="left" w:pos="1680"/>
          <w:tab w:val="left" w:pos="2240"/>
          <w:tab w:val="left" w:pos="2800"/>
          <w:tab w:val="left" w:pos="306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rPr>
      </w:pPr>
      <w:r w:rsidRPr="00C976E9">
        <w:rPr>
          <w:rFonts w:ascii="Times New Roman" w:hAnsi="Times New Roman"/>
          <w:b/>
          <w:bCs/>
        </w:rPr>
        <w:t xml:space="preserve"> as mediators of endosomal siRNA escape</w:t>
      </w:r>
    </w:p>
    <w:p w14:paraId="29B62051" w14:textId="77777777" w:rsidR="00590FD5" w:rsidRPr="00C60D44" w:rsidRDefault="00590FD5" w:rsidP="00590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sz w:val="22"/>
          <w:szCs w:val="22"/>
        </w:rPr>
      </w:pPr>
    </w:p>
    <w:p w14:paraId="4B029CD1" w14:textId="77777777" w:rsidR="00590FD5" w:rsidRPr="0084471B" w:rsidRDefault="00590FD5" w:rsidP="00590FD5">
      <w:pPr>
        <w:rPr>
          <w:rFonts w:ascii="Times New Roman" w:hAnsi="Times New Roman"/>
          <w:sz w:val="22"/>
          <w:szCs w:val="22"/>
        </w:rPr>
        <w:sectPr w:rsidR="00590FD5" w:rsidRPr="0084471B">
          <w:headerReference w:type="default" r:id="rId8"/>
          <w:pgSz w:w="12240" w:h="15840"/>
          <w:pgMar w:top="1440" w:right="1440" w:bottom="1440" w:left="1440" w:header="720" w:footer="720" w:gutter="0"/>
          <w:cols w:space="720"/>
        </w:sectPr>
      </w:pPr>
    </w:p>
    <w:p w14:paraId="3E46CC27" w14:textId="77777777" w:rsidR="00590FD5" w:rsidRPr="00C60D44" w:rsidRDefault="00590FD5" w:rsidP="00590FD5">
      <w:pPr>
        <w:ind w:firstLine="360"/>
        <w:jc w:val="both"/>
        <w:rPr>
          <w:rFonts w:ascii="Times New Roman" w:hAnsi="Times New Roman"/>
          <w:sz w:val="22"/>
          <w:szCs w:val="22"/>
        </w:rPr>
      </w:pPr>
      <w:r w:rsidRPr="00C60D44">
        <w:rPr>
          <w:rFonts w:ascii="Times New Roman" w:hAnsi="Times New Roman"/>
          <w:noProof/>
          <w:sz w:val="22"/>
          <w:szCs w:val="22"/>
        </w:rPr>
        <w:t>Cancer is one of the</w:t>
      </w:r>
      <w:r w:rsidRPr="00C60D44">
        <w:rPr>
          <w:rFonts w:ascii="Times New Roman" w:hAnsi="Times New Roman"/>
          <w:sz w:val="22"/>
          <w:szCs w:val="22"/>
        </w:rPr>
        <w:t xml:space="preserve"> leading causes of death worldwide, claiming nearly 600,000 U.S. lives in 2011</w:t>
      </w:r>
      <w:r w:rsidRPr="00C60D44">
        <w:rPr>
          <w:rFonts w:ascii="Times New Roman" w:hAnsi="Times New Roman"/>
          <w:sz w:val="22"/>
          <w:szCs w:val="22"/>
          <w:vertAlign w:val="superscript"/>
        </w:rPr>
        <w:t>1</w:t>
      </w:r>
      <w:r w:rsidRPr="00C60D44">
        <w:rPr>
          <w:rFonts w:ascii="Times New Roman" w:hAnsi="Times New Roman"/>
          <w:sz w:val="22"/>
          <w:szCs w:val="22"/>
        </w:rPr>
        <w:t>. Although chemotherapy effectively kills malignant cells, its indiscriminate toxicity leads to many undesirable side effects. Freeman and Mayhew</w:t>
      </w:r>
      <w:r w:rsidRPr="00C60D44">
        <w:rPr>
          <w:rFonts w:ascii="Times New Roman" w:hAnsi="Times New Roman"/>
          <w:sz w:val="22"/>
          <w:szCs w:val="22"/>
          <w:vertAlign w:val="superscript"/>
        </w:rPr>
        <w:t>2</w:t>
      </w:r>
      <w:r w:rsidRPr="00C60D44">
        <w:rPr>
          <w:rFonts w:ascii="Times New Roman" w:hAnsi="Times New Roman"/>
          <w:sz w:val="22"/>
          <w:szCs w:val="22"/>
        </w:rPr>
        <w:t xml:space="preserve"> attribute this to the non-specificity of chemotherapeutic drugs, </w:t>
      </w:r>
      <w:r w:rsidRPr="00C60D44">
        <w:rPr>
          <w:rFonts w:ascii="Times New Roman" w:hAnsi="Times New Roman"/>
          <w:i/>
          <w:sz w:val="22"/>
          <w:szCs w:val="22"/>
        </w:rPr>
        <w:t>i.e</w:t>
      </w:r>
      <w:r w:rsidRPr="00C60D44">
        <w:rPr>
          <w:rFonts w:ascii="Times New Roman" w:hAnsi="Times New Roman"/>
          <w:sz w:val="22"/>
          <w:szCs w:val="22"/>
        </w:rPr>
        <w:t>., the drugs do not act exclusively on the metabolic pathways of cancer cells. Fortunately, many cancers overexpress certain receptors on their cellular surface, leaving them vulnerable to anti-cancer drug delivery systems functionalized with corresponding targeting molecules</w:t>
      </w:r>
      <w:r w:rsidRPr="00C60D44">
        <w:rPr>
          <w:rFonts w:ascii="Times New Roman" w:hAnsi="Times New Roman"/>
          <w:sz w:val="22"/>
          <w:szCs w:val="22"/>
          <w:vertAlign w:val="superscript"/>
        </w:rPr>
        <w:t>3</w:t>
      </w:r>
      <w:r w:rsidRPr="00C60D44">
        <w:rPr>
          <w:rFonts w:ascii="Times New Roman" w:hAnsi="Times New Roman"/>
          <w:sz w:val="22"/>
          <w:szCs w:val="22"/>
        </w:rPr>
        <w:t>.</w:t>
      </w:r>
    </w:p>
    <w:p w14:paraId="3D12BFEC" w14:textId="77777777" w:rsidR="00590FD5" w:rsidRPr="00C60D44" w:rsidRDefault="00590FD5" w:rsidP="00590FD5">
      <w:pPr>
        <w:ind w:firstLine="360"/>
        <w:jc w:val="both"/>
        <w:rPr>
          <w:rFonts w:ascii="Times New Roman" w:hAnsi="Times New Roman"/>
          <w:sz w:val="22"/>
          <w:szCs w:val="22"/>
        </w:rPr>
      </w:pPr>
      <w:r w:rsidRPr="00C60D44">
        <w:rPr>
          <w:rFonts w:ascii="Times New Roman" w:hAnsi="Times New Roman"/>
          <w:sz w:val="22"/>
          <w:szCs w:val="22"/>
        </w:rPr>
        <w:t>Of the major chemotherapeutic methods, RNA silencing by small interfering RNA (siRNA)</w:t>
      </w:r>
      <w:r w:rsidR="00C9652A">
        <w:rPr>
          <w:rFonts w:ascii="Times New Roman" w:hAnsi="Times New Roman"/>
          <w:sz w:val="22"/>
          <w:szCs w:val="22"/>
        </w:rPr>
        <w:t>,</w:t>
      </w:r>
      <w:r w:rsidRPr="00C60D44">
        <w:rPr>
          <w:rFonts w:ascii="Times New Roman" w:hAnsi="Times New Roman"/>
          <w:sz w:val="22"/>
          <w:szCs w:val="22"/>
        </w:rPr>
        <w:t xml:space="preserve"> is emerging as an alternative treatment to traditional chemotherapy</w:t>
      </w:r>
      <w:r w:rsidRPr="00C60D44">
        <w:rPr>
          <w:rFonts w:ascii="Times New Roman" w:hAnsi="Times New Roman"/>
          <w:sz w:val="22"/>
          <w:szCs w:val="22"/>
          <w:vertAlign w:val="superscript"/>
        </w:rPr>
        <w:t>4</w:t>
      </w:r>
      <w:r w:rsidRPr="00C60D44">
        <w:rPr>
          <w:rFonts w:ascii="Times New Roman" w:hAnsi="Times New Roman"/>
          <w:sz w:val="22"/>
          <w:szCs w:val="22"/>
        </w:rPr>
        <w:t xml:space="preserve">. siRNAs are oligonucleotides capable of silencing specific genes responsible for malignant tumor propagation. Although promising, effective siRNA therapy must overcome the numerous issues associated with drug delivery such as (1) protection of the therapeutic agent, (2) vascular circulation, (3) cellular targeting, (4) cellular internalization, (5) endosomal escape, and (6) siRNA release.  Consequently, development of a sophisticated delivery vehicle capable of addressing each of the aforementioned issues is desired. In this regard, the </w:t>
      </w:r>
      <w:proofErr w:type="spellStart"/>
      <w:r w:rsidRPr="00C60D44">
        <w:rPr>
          <w:rFonts w:ascii="Times New Roman" w:hAnsi="Times New Roman"/>
          <w:sz w:val="22"/>
          <w:szCs w:val="22"/>
        </w:rPr>
        <w:t>Ringsdorf</w:t>
      </w:r>
      <w:proofErr w:type="spellEnd"/>
      <w:r w:rsidRPr="00C60D44">
        <w:rPr>
          <w:rFonts w:ascii="Times New Roman" w:hAnsi="Times New Roman"/>
          <w:sz w:val="22"/>
          <w:szCs w:val="22"/>
        </w:rPr>
        <w:t xml:space="preserve"> “depot” model has been the prevailing template for polymeric targeted delivery systems</w:t>
      </w:r>
      <w:r w:rsidRPr="00C60D44">
        <w:rPr>
          <w:rFonts w:ascii="Times New Roman" w:hAnsi="Times New Roman"/>
          <w:sz w:val="22"/>
          <w:szCs w:val="22"/>
          <w:vertAlign w:val="superscript"/>
        </w:rPr>
        <w:t>5</w:t>
      </w:r>
      <w:r w:rsidRPr="00C60D44">
        <w:rPr>
          <w:rFonts w:ascii="Times New Roman" w:hAnsi="Times New Roman"/>
          <w:sz w:val="22"/>
          <w:szCs w:val="22"/>
        </w:rPr>
        <w:t xml:space="preserve">, but </w:t>
      </w:r>
      <w:r w:rsidR="00D5769A" w:rsidRPr="00C60D44">
        <w:rPr>
          <w:rFonts w:ascii="Times New Roman" w:hAnsi="Times New Roman"/>
          <w:sz w:val="22"/>
          <w:szCs w:val="22"/>
        </w:rPr>
        <w:t xml:space="preserve">historically </w:t>
      </w:r>
      <w:r w:rsidRPr="00C60D44">
        <w:rPr>
          <w:rFonts w:ascii="Times New Roman" w:hAnsi="Times New Roman"/>
          <w:sz w:val="22"/>
          <w:szCs w:val="22"/>
        </w:rPr>
        <w:t>it has been difficult to implement as a practical delivery system.</w:t>
      </w:r>
      <w:r w:rsidR="00C60D44" w:rsidRPr="00C60D44">
        <w:rPr>
          <w:rFonts w:ascii="Times New Roman" w:hAnsi="Times New Roman"/>
          <w:sz w:val="22"/>
          <w:szCs w:val="22"/>
        </w:rPr>
        <w:t xml:space="preserve"> </w:t>
      </w:r>
      <w:r w:rsidR="00BE1C6B" w:rsidRPr="00C60D44">
        <w:rPr>
          <w:rFonts w:ascii="Times New Roman" w:hAnsi="Times New Roman"/>
          <w:sz w:val="22"/>
          <w:szCs w:val="22"/>
        </w:rPr>
        <w:t>R</w:t>
      </w:r>
      <w:r w:rsidRPr="00C60D44">
        <w:rPr>
          <w:rFonts w:ascii="Times New Roman" w:hAnsi="Times New Roman"/>
          <w:sz w:val="22"/>
          <w:szCs w:val="22"/>
        </w:rPr>
        <w:t>ecent developments in polymer synthesis now allow synthesis of well-defined polymers that can act as effective nanocarriers for therapeutic agents. In particular, the development of controlled radical polymerization techniques such as reversible addition-fragmentation chain transfer (RAFT) polymerization has accelerated efforts in targeted delivery by enabling precise control over molecular weight, polydispersity, and copolymerization through mediation by chain transfer agents (CTAs)</w:t>
      </w:r>
      <w:r w:rsidRPr="00C60D44">
        <w:rPr>
          <w:rFonts w:ascii="Times New Roman" w:hAnsi="Times New Roman"/>
          <w:sz w:val="22"/>
          <w:szCs w:val="22"/>
          <w:vertAlign w:val="superscript"/>
        </w:rPr>
        <w:t>6</w:t>
      </w:r>
      <w:r w:rsidRPr="00C60D44">
        <w:rPr>
          <w:rFonts w:ascii="Times New Roman" w:hAnsi="Times New Roman"/>
          <w:sz w:val="22"/>
          <w:szCs w:val="22"/>
        </w:rPr>
        <w:t>. Furthermore, stopping the reaction at moderate conversions can preserve the CTA end moiety. This intermediate, known as a macroCTA, can be isolated and further copolymerized</w:t>
      </w:r>
      <w:r w:rsidR="00BE1C6B" w:rsidRPr="00C60D44">
        <w:rPr>
          <w:rFonts w:ascii="Times New Roman" w:hAnsi="Times New Roman"/>
          <w:sz w:val="22"/>
          <w:szCs w:val="22"/>
        </w:rPr>
        <w:t xml:space="preserve"> with a different monomer</w:t>
      </w:r>
      <w:r w:rsidRPr="00C60D44">
        <w:rPr>
          <w:rFonts w:ascii="Times New Roman" w:hAnsi="Times New Roman"/>
          <w:sz w:val="22"/>
          <w:szCs w:val="22"/>
        </w:rPr>
        <w:t xml:space="preserve"> with </w:t>
      </w:r>
      <w:r w:rsidRPr="00C60D44">
        <w:rPr>
          <w:rFonts w:ascii="Times New Roman" w:hAnsi="Times New Roman"/>
          <w:sz w:val="22"/>
          <w:szCs w:val="22"/>
        </w:rPr>
        <w:t>excellent control over chain extension. The evolution of RAFT and its aqueous counterpart (</w:t>
      </w:r>
      <w:proofErr w:type="spellStart"/>
      <w:r w:rsidRPr="00C60D44">
        <w:rPr>
          <w:rFonts w:ascii="Times New Roman" w:hAnsi="Times New Roman"/>
          <w:i/>
          <w:sz w:val="22"/>
          <w:szCs w:val="22"/>
        </w:rPr>
        <w:t>a</w:t>
      </w:r>
      <w:r w:rsidRPr="00C60D44">
        <w:rPr>
          <w:rFonts w:ascii="Times New Roman" w:hAnsi="Times New Roman"/>
          <w:sz w:val="22"/>
          <w:szCs w:val="22"/>
        </w:rPr>
        <w:t>RAFT</w:t>
      </w:r>
      <w:proofErr w:type="spellEnd"/>
      <w:r w:rsidRPr="00C60D44">
        <w:rPr>
          <w:rFonts w:ascii="Times New Roman" w:hAnsi="Times New Roman"/>
          <w:sz w:val="22"/>
          <w:szCs w:val="22"/>
        </w:rPr>
        <w:t xml:space="preserve">) has helped overcome many of the synthetic barriers to implementing the </w:t>
      </w:r>
      <w:proofErr w:type="spellStart"/>
      <w:r w:rsidRPr="00C60D44">
        <w:rPr>
          <w:rFonts w:ascii="Times New Roman" w:hAnsi="Times New Roman"/>
          <w:sz w:val="22"/>
          <w:szCs w:val="22"/>
        </w:rPr>
        <w:t>Ringsdorf</w:t>
      </w:r>
      <w:proofErr w:type="spellEnd"/>
      <w:r w:rsidRPr="00C60D44">
        <w:rPr>
          <w:rFonts w:ascii="Times New Roman" w:hAnsi="Times New Roman"/>
          <w:sz w:val="22"/>
          <w:szCs w:val="22"/>
        </w:rPr>
        <w:t xml:space="preserve"> model, such that it has recently been found to be an effective method for siRNA release</w:t>
      </w:r>
      <w:r w:rsidRPr="00C60D44">
        <w:rPr>
          <w:rFonts w:ascii="Times New Roman" w:hAnsi="Times New Roman"/>
          <w:sz w:val="22"/>
          <w:szCs w:val="22"/>
          <w:vertAlign w:val="superscript"/>
        </w:rPr>
        <w:t>7</w:t>
      </w:r>
      <w:r w:rsidRPr="00C60D44">
        <w:rPr>
          <w:rFonts w:ascii="Times New Roman" w:hAnsi="Times New Roman"/>
          <w:sz w:val="22"/>
          <w:szCs w:val="22"/>
        </w:rPr>
        <w:t>; however, the model itself still has the inherent flaw of lacking a viable endosomal escape mechanism.</w:t>
      </w:r>
    </w:p>
    <w:p w14:paraId="13598CB7" w14:textId="77777777" w:rsidR="00590FD5" w:rsidRPr="00C60D44" w:rsidRDefault="00590FD5" w:rsidP="00590FD5">
      <w:pPr>
        <w:ind w:firstLine="360"/>
        <w:jc w:val="both"/>
        <w:rPr>
          <w:rFonts w:ascii="Times New Roman" w:hAnsi="Times New Roman"/>
          <w:sz w:val="22"/>
          <w:szCs w:val="22"/>
        </w:rPr>
      </w:pPr>
      <w:r w:rsidRPr="00C60D44">
        <w:rPr>
          <w:rFonts w:ascii="Times New Roman" w:hAnsi="Times New Roman"/>
          <w:sz w:val="22"/>
          <w:szCs w:val="22"/>
        </w:rPr>
        <w:t xml:space="preserve">To achieve effective </w:t>
      </w:r>
      <w:r w:rsidRPr="00C60D44">
        <w:rPr>
          <w:rFonts w:ascii="Times New Roman" w:hAnsi="Times New Roman"/>
          <w:i/>
          <w:sz w:val="22"/>
          <w:szCs w:val="22"/>
        </w:rPr>
        <w:t>in vivo</w:t>
      </w:r>
      <w:r w:rsidRPr="00C60D44">
        <w:rPr>
          <w:rFonts w:ascii="Times New Roman" w:hAnsi="Times New Roman"/>
          <w:sz w:val="22"/>
          <w:szCs w:val="22"/>
        </w:rPr>
        <w:t xml:space="preserve"> targeted delivery, a </w:t>
      </w:r>
      <w:proofErr w:type="spellStart"/>
      <w:r w:rsidRPr="00C60D44">
        <w:rPr>
          <w:rFonts w:ascii="Times New Roman" w:hAnsi="Times New Roman"/>
          <w:sz w:val="22"/>
          <w:szCs w:val="22"/>
        </w:rPr>
        <w:t>Ringsdorf</w:t>
      </w:r>
      <w:proofErr w:type="spellEnd"/>
      <w:r w:rsidRPr="00C60D44">
        <w:rPr>
          <w:rFonts w:ascii="Times New Roman" w:hAnsi="Times New Roman"/>
          <w:sz w:val="22"/>
          <w:szCs w:val="22"/>
        </w:rPr>
        <w:t>-based system would need to include a method of endosomal escape, often referred to as the bottleneck of drug delivery. Of the various escape mechanisms, the most relevant is through physical disruption of the endosomal membrane via hydrophobic polymer-lipid interaction</w:t>
      </w:r>
      <w:r w:rsidR="00BE1C6B" w:rsidRPr="00C60D44">
        <w:rPr>
          <w:rFonts w:ascii="Times New Roman" w:hAnsi="Times New Roman"/>
          <w:sz w:val="22"/>
          <w:szCs w:val="22"/>
        </w:rPr>
        <w:t>s</w:t>
      </w:r>
      <w:r w:rsidRPr="00C60D44">
        <w:rPr>
          <w:rFonts w:ascii="Times New Roman" w:hAnsi="Times New Roman"/>
          <w:sz w:val="22"/>
          <w:szCs w:val="22"/>
        </w:rPr>
        <w:t>. It has been shown that at endosomal pH (~5), certain pH-responsive peptides become more hydrophobic and can disrupt cellular membranes, allowing penetration of the disrupting species</w:t>
      </w:r>
      <w:r w:rsidRPr="00C60D44">
        <w:rPr>
          <w:rFonts w:ascii="Times New Roman" w:hAnsi="Times New Roman"/>
          <w:sz w:val="22"/>
          <w:szCs w:val="22"/>
          <w:vertAlign w:val="superscript"/>
        </w:rPr>
        <w:t>8</w:t>
      </w:r>
      <w:r w:rsidRPr="00C60D44">
        <w:rPr>
          <w:rFonts w:ascii="Times New Roman" w:hAnsi="Times New Roman"/>
          <w:sz w:val="22"/>
          <w:szCs w:val="22"/>
        </w:rPr>
        <w:t xml:space="preserve">. </w:t>
      </w:r>
      <w:r w:rsidR="00C9652A">
        <w:rPr>
          <w:rFonts w:ascii="Times New Roman" w:hAnsi="Times New Roman"/>
          <w:sz w:val="22"/>
          <w:szCs w:val="22"/>
        </w:rPr>
        <w:t>However</w:t>
      </w:r>
      <w:r w:rsidRPr="00C60D44">
        <w:rPr>
          <w:rFonts w:ascii="Times New Roman" w:hAnsi="Times New Roman"/>
          <w:sz w:val="22"/>
          <w:szCs w:val="22"/>
        </w:rPr>
        <w:t>, peptide synthesis is a cumbersome practice that would be difficult to implement on a large scale. The optimal delivery system would thus utilize the dual solubility of amphiphilic peptides to achieve endosomal release, but could be efficiently synthesized on a larger scale.</w:t>
      </w:r>
    </w:p>
    <w:p w14:paraId="6D7802FF" w14:textId="77777777" w:rsidR="00590FD5" w:rsidRPr="00C60D44" w:rsidRDefault="00590FD5" w:rsidP="00590FD5">
      <w:pPr>
        <w:ind w:firstLine="360"/>
        <w:jc w:val="both"/>
        <w:rPr>
          <w:rFonts w:ascii="Times New Roman" w:hAnsi="Times New Roman"/>
          <w:sz w:val="22"/>
          <w:szCs w:val="22"/>
        </w:rPr>
      </w:pPr>
      <w:r w:rsidRPr="00C60D44">
        <w:rPr>
          <w:rFonts w:ascii="Times New Roman" w:hAnsi="Times New Roman"/>
          <w:sz w:val="22"/>
          <w:szCs w:val="22"/>
        </w:rPr>
        <w:t xml:space="preserve">Conveniently, sulfonamide compounds such as sulfa drugs exhibit desirable </w:t>
      </w:r>
      <w:proofErr w:type="spellStart"/>
      <w:r w:rsidRPr="00C60D44">
        <w:rPr>
          <w:rFonts w:ascii="Times New Roman" w:hAnsi="Times New Roman"/>
          <w:sz w:val="22"/>
          <w:szCs w:val="22"/>
        </w:rPr>
        <w:t>pKa</w:t>
      </w:r>
      <w:proofErr w:type="spellEnd"/>
      <w:r w:rsidRPr="00C60D44">
        <w:rPr>
          <w:rFonts w:ascii="Times New Roman" w:hAnsi="Times New Roman"/>
          <w:sz w:val="22"/>
          <w:szCs w:val="22"/>
        </w:rPr>
        <w:t xml:space="preserve"> values for intra-endosome polymer aggregation, are </w:t>
      </w:r>
      <w:r w:rsidR="0092751C" w:rsidRPr="00C60D44">
        <w:rPr>
          <w:rFonts w:ascii="Times New Roman" w:hAnsi="Times New Roman"/>
          <w:sz w:val="22"/>
          <w:szCs w:val="22"/>
        </w:rPr>
        <w:t xml:space="preserve">commercially </w:t>
      </w:r>
      <w:r w:rsidRPr="00C60D44">
        <w:rPr>
          <w:rFonts w:ascii="Times New Roman" w:hAnsi="Times New Roman"/>
          <w:sz w:val="22"/>
          <w:szCs w:val="22"/>
        </w:rPr>
        <w:t>available at low cost, and have been shown to exhibit pH-dependent solubility when polymerized</w:t>
      </w:r>
      <w:r w:rsidRPr="00C60D44">
        <w:rPr>
          <w:rFonts w:ascii="Times New Roman" w:hAnsi="Times New Roman"/>
          <w:sz w:val="22"/>
          <w:szCs w:val="22"/>
          <w:vertAlign w:val="superscript"/>
        </w:rPr>
        <w:t>8</w:t>
      </w:r>
      <w:r w:rsidRPr="00C60D44">
        <w:rPr>
          <w:rFonts w:ascii="Times New Roman" w:hAnsi="Times New Roman"/>
          <w:sz w:val="22"/>
          <w:szCs w:val="22"/>
        </w:rPr>
        <w:t>.</w:t>
      </w:r>
      <w:r w:rsidR="00341A07">
        <w:rPr>
          <w:rFonts w:ascii="Times New Roman" w:hAnsi="Times New Roman"/>
          <w:sz w:val="22"/>
          <w:szCs w:val="22"/>
        </w:rPr>
        <w:t xml:space="preserve"> Our group has recently demonstrated the first RAFT polymerization of </w:t>
      </w:r>
      <w:proofErr w:type="spellStart"/>
      <w:r w:rsidR="00341A07">
        <w:rPr>
          <w:rFonts w:ascii="Times New Roman" w:hAnsi="Times New Roman"/>
          <w:sz w:val="22"/>
          <w:szCs w:val="22"/>
        </w:rPr>
        <w:t>methacrylamide</w:t>
      </w:r>
      <w:proofErr w:type="spellEnd"/>
      <w:r w:rsidR="00341A07">
        <w:rPr>
          <w:rFonts w:ascii="Times New Roman" w:hAnsi="Times New Roman"/>
          <w:sz w:val="22"/>
          <w:szCs w:val="22"/>
        </w:rPr>
        <w:t>-containing sulfonamide monomers</w:t>
      </w:r>
      <w:r w:rsidR="00733AE2">
        <w:rPr>
          <w:rFonts w:ascii="Times New Roman" w:hAnsi="Times New Roman"/>
          <w:sz w:val="22"/>
          <w:szCs w:val="22"/>
          <w:vertAlign w:val="superscript"/>
        </w:rPr>
        <w:t>9</w:t>
      </w:r>
      <w:r w:rsidR="00341A07">
        <w:rPr>
          <w:rFonts w:ascii="Times New Roman" w:hAnsi="Times New Roman"/>
          <w:sz w:val="22"/>
          <w:szCs w:val="22"/>
        </w:rPr>
        <w:t xml:space="preserve">, enabling </w:t>
      </w:r>
      <w:r w:rsidR="00586693" w:rsidRPr="00C60D44">
        <w:rPr>
          <w:rFonts w:ascii="Times New Roman" w:hAnsi="Times New Roman"/>
          <w:sz w:val="22"/>
          <w:szCs w:val="22"/>
        </w:rPr>
        <w:t>the possibility of utilizing the</w:t>
      </w:r>
      <w:r w:rsidR="00917933">
        <w:rPr>
          <w:rFonts w:ascii="Times New Roman" w:hAnsi="Times New Roman"/>
          <w:sz w:val="22"/>
          <w:szCs w:val="22"/>
        </w:rPr>
        <w:t>ir</w:t>
      </w:r>
      <w:r w:rsidR="00586693" w:rsidRPr="00C60D44">
        <w:rPr>
          <w:rFonts w:ascii="Times New Roman" w:hAnsi="Times New Roman"/>
          <w:sz w:val="22"/>
          <w:szCs w:val="22"/>
        </w:rPr>
        <w:t xml:space="preserve"> pH-dependent solubility</w:t>
      </w:r>
      <w:r w:rsidR="00917933">
        <w:rPr>
          <w:rFonts w:ascii="Times New Roman" w:hAnsi="Times New Roman"/>
          <w:sz w:val="22"/>
          <w:szCs w:val="22"/>
        </w:rPr>
        <w:t xml:space="preserve"> properties</w:t>
      </w:r>
      <w:r w:rsidR="00586693" w:rsidRPr="00C60D44">
        <w:rPr>
          <w:rFonts w:ascii="Times New Roman" w:hAnsi="Times New Roman"/>
          <w:sz w:val="22"/>
          <w:szCs w:val="22"/>
        </w:rPr>
        <w:t xml:space="preserve"> for therapeutic systems.</w:t>
      </w:r>
      <w:r w:rsidRPr="00C60D44">
        <w:rPr>
          <w:rFonts w:ascii="Times New Roman" w:hAnsi="Times New Roman"/>
          <w:sz w:val="22"/>
          <w:szCs w:val="22"/>
        </w:rPr>
        <w:t xml:space="preserve"> Under acidic conditions, a block copolymer of a given sulfonamide and a hydrophilic monomer should exhibit similar amphiphilicity as the aforementioned peptides, providing a more </w:t>
      </w:r>
      <w:r w:rsidR="0092751C" w:rsidRPr="00C60D44">
        <w:rPr>
          <w:rFonts w:ascii="Times New Roman" w:hAnsi="Times New Roman"/>
          <w:sz w:val="22"/>
          <w:szCs w:val="22"/>
        </w:rPr>
        <w:t>practical</w:t>
      </w:r>
      <w:r w:rsidRPr="00C60D44">
        <w:rPr>
          <w:rFonts w:ascii="Times New Roman" w:hAnsi="Times New Roman"/>
          <w:sz w:val="22"/>
          <w:szCs w:val="22"/>
        </w:rPr>
        <w:t xml:space="preserve"> means of facilitating endosomal escape (</w:t>
      </w:r>
      <w:r w:rsidRPr="00C60D44">
        <w:rPr>
          <w:rFonts w:ascii="Times New Roman" w:hAnsi="Times New Roman"/>
          <w:b/>
          <w:sz w:val="22"/>
          <w:szCs w:val="22"/>
        </w:rPr>
        <w:t>Figure 1</w:t>
      </w:r>
      <w:r w:rsidRPr="00C60D44">
        <w:rPr>
          <w:rFonts w:ascii="Times New Roman" w:hAnsi="Times New Roman"/>
          <w:sz w:val="22"/>
          <w:szCs w:val="22"/>
        </w:rPr>
        <w:t>).</w:t>
      </w:r>
    </w:p>
    <w:p w14:paraId="3017EB85" w14:textId="77777777" w:rsidR="00590FD5" w:rsidRPr="00C60D44" w:rsidRDefault="000B137C" w:rsidP="00590FD5">
      <w:pPr>
        <w:ind w:firstLine="360"/>
        <w:jc w:val="both"/>
        <w:rPr>
          <w:rFonts w:ascii="Times New Roman" w:hAnsi="Times New Roman"/>
          <w:sz w:val="22"/>
          <w:szCs w:val="22"/>
        </w:rPr>
      </w:pPr>
      <w:r w:rsidRPr="00C60D44">
        <w:rPr>
          <w:rFonts w:ascii="Times New Roman" w:hAnsi="Times New Roman"/>
          <w:sz w:val="22"/>
          <w:szCs w:val="22"/>
        </w:rPr>
        <w:t xml:space="preserve">Drawing upon my previous research in </w:t>
      </w:r>
      <w:proofErr w:type="spellStart"/>
      <w:r w:rsidRPr="00C60D44">
        <w:rPr>
          <w:rFonts w:ascii="Times New Roman" w:hAnsi="Times New Roman"/>
          <w:sz w:val="22"/>
          <w:szCs w:val="22"/>
        </w:rPr>
        <w:t>polysulfonamides</w:t>
      </w:r>
      <w:proofErr w:type="spellEnd"/>
      <w:r w:rsidRPr="00C60D44">
        <w:rPr>
          <w:rFonts w:ascii="Times New Roman" w:hAnsi="Times New Roman"/>
          <w:sz w:val="22"/>
          <w:szCs w:val="22"/>
        </w:rPr>
        <w:t xml:space="preserve">, </w:t>
      </w:r>
      <w:r w:rsidR="00590FD5" w:rsidRPr="00C60D44">
        <w:rPr>
          <w:rFonts w:ascii="Times New Roman" w:hAnsi="Times New Roman"/>
          <w:sz w:val="22"/>
          <w:szCs w:val="22"/>
        </w:rPr>
        <w:t>I propose to develop a</w:t>
      </w:r>
      <w:r w:rsidR="00341A07">
        <w:rPr>
          <w:rFonts w:ascii="Times New Roman" w:hAnsi="Times New Roman"/>
          <w:sz w:val="22"/>
          <w:szCs w:val="22"/>
        </w:rPr>
        <w:t xml:space="preserve"> </w:t>
      </w:r>
      <w:r w:rsidR="00590FD5" w:rsidRPr="00C60D44">
        <w:rPr>
          <w:rFonts w:ascii="Times New Roman" w:hAnsi="Times New Roman"/>
          <w:sz w:val="22"/>
          <w:szCs w:val="22"/>
        </w:rPr>
        <w:t xml:space="preserve">siRNA delivery system </w:t>
      </w:r>
      <w:r w:rsidR="00D5769A" w:rsidRPr="00C60D44">
        <w:rPr>
          <w:rFonts w:ascii="Times New Roman" w:hAnsi="Times New Roman"/>
          <w:sz w:val="22"/>
          <w:szCs w:val="22"/>
        </w:rPr>
        <w:t xml:space="preserve">providing </w:t>
      </w:r>
      <w:r w:rsidR="00590FD5" w:rsidRPr="00C60D44">
        <w:rPr>
          <w:rFonts w:ascii="Times New Roman" w:hAnsi="Times New Roman"/>
          <w:sz w:val="22"/>
          <w:szCs w:val="22"/>
        </w:rPr>
        <w:t xml:space="preserve">a sulfonamide block </w:t>
      </w:r>
      <w:r w:rsidRPr="00C60D44">
        <w:rPr>
          <w:rFonts w:ascii="Times New Roman" w:hAnsi="Times New Roman"/>
          <w:sz w:val="22"/>
          <w:szCs w:val="22"/>
        </w:rPr>
        <w:t>for</w:t>
      </w:r>
      <w:r w:rsidR="00590FD5" w:rsidRPr="00C60D44">
        <w:rPr>
          <w:rFonts w:ascii="Times New Roman" w:hAnsi="Times New Roman"/>
          <w:sz w:val="22"/>
          <w:szCs w:val="22"/>
        </w:rPr>
        <w:t xml:space="preserve"> endosomal escape. My overall research goals are to (1) synthesize a library of </w:t>
      </w:r>
      <w:proofErr w:type="spellStart"/>
      <w:r w:rsidR="00590FD5" w:rsidRPr="00C60D44">
        <w:rPr>
          <w:rFonts w:ascii="Times New Roman" w:hAnsi="Times New Roman"/>
          <w:sz w:val="22"/>
          <w:szCs w:val="22"/>
        </w:rPr>
        <w:t>polysulfonamides</w:t>
      </w:r>
      <w:proofErr w:type="spellEnd"/>
      <w:r w:rsidR="00590FD5" w:rsidRPr="00C60D44">
        <w:rPr>
          <w:rFonts w:ascii="Times New Roman" w:hAnsi="Times New Roman"/>
          <w:sz w:val="22"/>
          <w:szCs w:val="22"/>
        </w:rPr>
        <w:t xml:space="preserve"> (</w:t>
      </w:r>
      <w:proofErr w:type="spellStart"/>
      <w:r w:rsidR="00590FD5" w:rsidRPr="00C60D44">
        <w:rPr>
          <w:rFonts w:ascii="Times New Roman" w:hAnsi="Times New Roman"/>
          <w:sz w:val="22"/>
          <w:szCs w:val="22"/>
        </w:rPr>
        <w:t>pSA</w:t>
      </w:r>
      <w:proofErr w:type="spellEnd"/>
      <w:r w:rsidR="00590FD5" w:rsidRPr="00C60D44">
        <w:rPr>
          <w:rFonts w:ascii="Times New Roman" w:hAnsi="Times New Roman"/>
          <w:sz w:val="22"/>
          <w:szCs w:val="22"/>
        </w:rPr>
        <w:t xml:space="preserve">) encompassing a range of </w:t>
      </w:r>
      <w:proofErr w:type="spellStart"/>
      <w:r w:rsidR="00590FD5" w:rsidRPr="00C60D44">
        <w:rPr>
          <w:rFonts w:ascii="Times New Roman" w:hAnsi="Times New Roman"/>
          <w:sz w:val="22"/>
          <w:szCs w:val="22"/>
        </w:rPr>
        <w:t>pKa</w:t>
      </w:r>
      <w:proofErr w:type="spellEnd"/>
      <w:r w:rsidR="00590FD5" w:rsidRPr="00C60D44">
        <w:rPr>
          <w:rFonts w:ascii="Times New Roman" w:hAnsi="Times New Roman"/>
          <w:sz w:val="22"/>
          <w:szCs w:val="22"/>
        </w:rPr>
        <w:t xml:space="preserve"> values (</w:t>
      </w:r>
      <w:r w:rsidR="00917933">
        <w:rPr>
          <w:rFonts w:ascii="Times New Roman" w:hAnsi="Times New Roman"/>
          <w:b/>
          <w:sz w:val="22"/>
          <w:szCs w:val="22"/>
        </w:rPr>
        <w:t>Figure</w:t>
      </w:r>
      <w:r w:rsidR="00917933" w:rsidRPr="00C60D44">
        <w:rPr>
          <w:rFonts w:ascii="Times New Roman" w:hAnsi="Times New Roman"/>
          <w:b/>
          <w:sz w:val="22"/>
          <w:szCs w:val="22"/>
        </w:rPr>
        <w:t xml:space="preserve"> </w:t>
      </w:r>
      <w:r w:rsidR="00917933">
        <w:rPr>
          <w:rFonts w:ascii="Times New Roman" w:hAnsi="Times New Roman"/>
          <w:b/>
          <w:sz w:val="22"/>
          <w:szCs w:val="22"/>
        </w:rPr>
        <w:t>2</w:t>
      </w:r>
      <w:r w:rsidR="00590FD5" w:rsidRPr="00C60D44">
        <w:rPr>
          <w:rFonts w:ascii="Times New Roman" w:hAnsi="Times New Roman"/>
          <w:sz w:val="22"/>
          <w:szCs w:val="22"/>
        </w:rPr>
        <w:t>), (2) study the pH-</w:t>
      </w:r>
      <w:r w:rsidR="00590FD5" w:rsidRPr="00C60D44">
        <w:rPr>
          <w:rFonts w:ascii="Times New Roman" w:hAnsi="Times New Roman"/>
          <w:sz w:val="22"/>
          <w:szCs w:val="22"/>
        </w:rPr>
        <w:lastRenderedPageBreak/>
        <w:t xml:space="preserve">dependent solubility of each polymer, and (3) prepare a block copolymer with </w:t>
      </w:r>
      <w:proofErr w:type="spellStart"/>
      <w:r w:rsidR="00590FD5" w:rsidRPr="00C60D44">
        <w:rPr>
          <w:rFonts w:ascii="Times New Roman" w:hAnsi="Times New Roman"/>
          <w:sz w:val="22"/>
          <w:szCs w:val="22"/>
        </w:rPr>
        <w:t>pSA</w:t>
      </w:r>
      <w:r w:rsidR="00617B03" w:rsidRPr="00C60D44">
        <w:rPr>
          <w:rFonts w:ascii="Times New Roman" w:hAnsi="Times New Roman"/>
          <w:sz w:val="22"/>
          <w:szCs w:val="22"/>
        </w:rPr>
        <w:t>s</w:t>
      </w:r>
      <w:proofErr w:type="spellEnd"/>
      <w:r w:rsidR="00590FD5" w:rsidRPr="00C60D44">
        <w:rPr>
          <w:rFonts w:ascii="Times New Roman" w:hAnsi="Times New Roman"/>
          <w:sz w:val="22"/>
          <w:szCs w:val="22"/>
        </w:rPr>
        <w:t xml:space="preserve"> and conduct red blood cell hemolysis assays to measure pH-dependent </w:t>
      </w:r>
      <w:r w:rsidR="00617B03" w:rsidRPr="00C60D44">
        <w:rPr>
          <w:rFonts w:ascii="Times New Roman" w:hAnsi="Times New Roman"/>
          <w:sz w:val="22"/>
          <w:szCs w:val="22"/>
        </w:rPr>
        <w:t>lipid membrane disruption</w:t>
      </w:r>
      <w:r w:rsidR="00590FD5" w:rsidRPr="00C60D44">
        <w:rPr>
          <w:rFonts w:ascii="Times New Roman" w:hAnsi="Times New Roman"/>
          <w:sz w:val="22"/>
          <w:szCs w:val="22"/>
        </w:rPr>
        <w:t>.</w:t>
      </w:r>
    </w:p>
    <w:p w14:paraId="20B322F6" w14:textId="77777777" w:rsidR="00590FD5" w:rsidRPr="00C60D44" w:rsidRDefault="00236798" w:rsidP="00590FD5">
      <w:pPr>
        <w:ind w:firstLine="360"/>
        <w:jc w:val="both"/>
        <w:rPr>
          <w:rFonts w:ascii="Times New Roman" w:hAnsi="Times New Roman"/>
          <w:sz w:val="22"/>
          <w:szCs w:val="22"/>
        </w:rPr>
      </w:pPr>
      <w:r w:rsidRPr="00C60D44">
        <w:rPr>
          <w:noProof/>
          <w:sz w:val="22"/>
          <w:szCs w:val="22"/>
        </w:rPr>
        <mc:AlternateContent>
          <mc:Choice Requires="wps">
            <w:drawing>
              <wp:anchor distT="0" distB="0" distL="114300" distR="114300" simplePos="0" relativeHeight="251657728" behindDoc="0" locked="0" layoutInCell="1" allowOverlap="1" wp14:anchorId="320FE0B6" wp14:editId="262C868D">
                <wp:simplePos x="0" y="0"/>
                <wp:positionH relativeFrom="column">
                  <wp:posOffset>0</wp:posOffset>
                </wp:positionH>
                <wp:positionV relativeFrom="paragraph">
                  <wp:posOffset>247015</wp:posOffset>
                </wp:positionV>
                <wp:extent cx="2743200" cy="685800"/>
                <wp:effectExtent l="0" t="0" r="0" b="635"/>
                <wp:wrapTopAndBottom/>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672F2" w14:textId="77777777" w:rsidR="00917933" w:rsidRPr="002E1069" w:rsidRDefault="00917933" w:rsidP="00C976E9">
                            <w:pPr>
                              <w:jc w:val="center"/>
                              <w:rPr>
                                <w:rFonts w:ascii="Times New Roman" w:hAnsi="Times New Roman"/>
                                <w:sz w:val="22"/>
                              </w:rPr>
                            </w:pPr>
                            <w:r w:rsidRPr="002E1069">
                              <w:rPr>
                                <w:rFonts w:ascii="Times New Roman" w:hAnsi="Times New Roman"/>
                                <w:b/>
                                <w:sz w:val="22"/>
                              </w:rPr>
                              <w:t>Figure 1.</w:t>
                            </w:r>
                            <w:r w:rsidRPr="002E1069">
                              <w:rPr>
                                <w:rFonts w:ascii="Times New Roman" w:hAnsi="Times New Roman"/>
                                <w:sz w:val="22"/>
                              </w:rPr>
                              <w:t xml:space="preserve"> Endosomal membrane disruption via </w:t>
                            </w:r>
                            <w:r>
                              <w:rPr>
                                <w:rFonts w:ascii="Times New Roman" w:hAnsi="Times New Roman"/>
                                <w:sz w:val="22"/>
                              </w:rPr>
                              <w:t>hydrophobic</w:t>
                            </w:r>
                            <w:r w:rsidRPr="002E1069">
                              <w:rPr>
                                <w:rFonts w:ascii="Times New Roman" w:hAnsi="Times New Roman"/>
                                <w:sz w:val="22"/>
                              </w:rPr>
                              <w:t xml:space="preserve"> sulfonamide block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0;margin-top:19.45pt;width:3in;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" filled="f" stroked="f">
                <v:textbox inset=",7.2pt,,7.2pt">
                  <w:txbxContent>
                    <w:p w:rsidR="00917933" w:rsidRPr="002E1069" w:rsidRDefault="00917933" w:rsidP="00C976E9">
                      <w:pPr>
                        <w:jc w:val="center"/>
                        <w:rPr>
                          <w:rFonts w:ascii="Times New Roman" w:hAnsi="Times New Roman"/>
                          <w:sz w:val="22"/>
                        </w:rPr>
                      </w:pPr>
                      <w:r w:rsidRPr="002E1069">
                        <w:rPr>
                          <w:rFonts w:ascii="Times New Roman" w:hAnsi="Times New Roman"/>
                          <w:b/>
                          <w:sz w:val="22"/>
                        </w:rPr>
                        <w:t>Figure 1.</w:t>
                      </w:r>
                      <w:r w:rsidRPr="002E1069">
                        <w:rPr>
                          <w:rFonts w:ascii="Times New Roman" w:hAnsi="Times New Roman"/>
                          <w:sz w:val="22"/>
                        </w:rPr>
                        <w:t xml:space="preserve"> </w:t>
                      </w:r>
                      <w:proofErr w:type="spellStart"/>
                      <w:r w:rsidRPr="002E1069">
                        <w:rPr>
                          <w:rFonts w:ascii="Times New Roman" w:hAnsi="Times New Roman"/>
                          <w:sz w:val="22"/>
                        </w:rPr>
                        <w:t>Endosomal</w:t>
                      </w:r>
                      <w:proofErr w:type="spellEnd"/>
                      <w:r w:rsidRPr="002E1069">
                        <w:rPr>
                          <w:rFonts w:ascii="Times New Roman" w:hAnsi="Times New Roman"/>
                          <w:sz w:val="22"/>
                        </w:rPr>
                        <w:t xml:space="preserve"> membrane disruption via </w:t>
                      </w:r>
                      <w:r>
                        <w:rPr>
                          <w:rFonts w:ascii="Times New Roman" w:hAnsi="Times New Roman"/>
                          <w:sz w:val="22"/>
                        </w:rPr>
                        <w:t>hydrophobic</w:t>
                      </w:r>
                      <w:r w:rsidRPr="002E1069">
                        <w:rPr>
                          <w:rFonts w:ascii="Times New Roman" w:hAnsi="Times New Roman"/>
                          <w:sz w:val="22"/>
                        </w:rPr>
                        <w:t xml:space="preserve"> sulfonamide block</w:t>
                      </w:r>
                    </w:p>
                  </w:txbxContent>
                </v:textbox>
                <w10:wrap type="topAndBottom"/>
              </v:shape>
            </w:pict>
          </mc:Fallback>
        </mc:AlternateContent>
      </w:r>
      <w:r w:rsidRPr="00C60D44">
        <w:rPr>
          <w:noProof/>
          <w:sz w:val="22"/>
          <w:szCs w:val="22"/>
        </w:rPr>
        <w:drawing>
          <wp:anchor distT="0" distB="0" distL="114300" distR="114300" simplePos="0" relativeHeight="251656704" behindDoc="0" locked="0" layoutInCell="1" allowOverlap="1" wp14:anchorId="1532A04C" wp14:editId="523C4B9D">
            <wp:simplePos x="0" y="0"/>
            <wp:positionH relativeFrom="column">
              <wp:posOffset>0</wp:posOffset>
            </wp:positionH>
            <wp:positionV relativeFrom="paragraph">
              <wp:posOffset>-1124585</wp:posOffset>
            </wp:positionV>
            <wp:extent cx="2743200" cy="135890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35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0FD5" w:rsidRPr="00C60D44">
        <w:rPr>
          <w:rFonts w:ascii="Times New Roman" w:hAnsi="Times New Roman"/>
          <w:sz w:val="22"/>
          <w:szCs w:val="22"/>
        </w:rPr>
        <w:t xml:space="preserve">I will begin by studying the reaction kinetics of each </w:t>
      </w:r>
      <w:proofErr w:type="spellStart"/>
      <w:r w:rsidR="00590FD5" w:rsidRPr="00C60D44">
        <w:rPr>
          <w:rFonts w:ascii="Times New Roman" w:hAnsi="Times New Roman"/>
          <w:sz w:val="22"/>
          <w:szCs w:val="22"/>
        </w:rPr>
        <w:t>pSA</w:t>
      </w:r>
      <w:proofErr w:type="spellEnd"/>
      <w:r w:rsidR="00590FD5" w:rsidRPr="00C60D44">
        <w:rPr>
          <w:rFonts w:ascii="Times New Roman" w:hAnsi="Times New Roman"/>
          <w:sz w:val="22"/>
          <w:szCs w:val="22"/>
        </w:rPr>
        <w:t xml:space="preserve"> synthesis. Kinetic studies will elucidate any potential monomer incompatibilities as well as facilitate molecular weight targeting. The polymerizations will then be scaled up and the resultant </w:t>
      </w:r>
      <w:proofErr w:type="spellStart"/>
      <w:r w:rsidR="00590FD5" w:rsidRPr="00C60D44">
        <w:rPr>
          <w:rFonts w:ascii="Times New Roman" w:hAnsi="Times New Roman"/>
          <w:sz w:val="22"/>
          <w:szCs w:val="22"/>
        </w:rPr>
        <w:t>pSA</w:t>
      </w:r>
      <w:proofErr w:type="spellEnd"/>
      <w:r w:rsidR="00590FD5" w:rsidRPr="00C60D44">
        <w:rPr>
          <w:rFonts w:ascii="Times New Roman" w:hAnsi="Times New Roman"/>
          <w:sz w:val="22"/>
          <w:szCs w:val="22"/>
        </w:rPr>
        <w:t xml:space="preserve"> polymers will be titrated against hydrochloric acid to examine pH-dependent solubility.</w:t>
      </w:r>
    </w:p>
    <w:p w14:paraId="13510273" w14:textId="77777777" w:rsidR="00590FD5" w:rsidRPr="00C60D44" w:rsidRDefault="00590FD5" w:rsidP="00590FD5">
      <w:pPr>
        <w:ind w:firstLine="360"/>
        <w:jc w:val="both"/>
        <w:rPr>
          <w:rFonts w:ascii="Times New Roman" w:hAnsi="Times New Roman"/>
          <w:sz w:val="22"/>
          <w:szCs w:val="22"/>
        </w:rPr>
      </w:pPr>
      <w:r w:rsidRPr="00C60D44">
        <w:rPr>
          <w:rFonts w:ascii="Times New Roman" w:hAnsi="Times New Roman"/>
          <w:sz w:val="22"/>
          <w:szCs w:val="22"/>
        </w:rPr>
        <w:t xml:space="preserve">The next step is to incorporate </w:t>
      </w:r>
      <w:proofErr w:type="spellStart"/>
      <w:r w:rsidRPr="00C60D44">
        <w:rPr>
          <w:rFonts w:ascii="Times New Roman" w:hAnsi="Times New Roman"/>
          <w:sz w:val="22"/>
          <w:szCs w:val="22"/>
        </w:rPr>
        <w:t>pSA</w:t>
      </w:r>
      <w:r w:rsidR="00617B03" w:rsidRPr="00C60D44">
        <w:rPr>
          <w:rFonts w:ascii="Times New Roman" w:hAnsi="Times New Roman"/>
          <w:sz w:val="22"/>
          <w:szCs w:val="22"/>
        </w:rPr>
        <w:t>s</w:t>
      </w:r>
      <w:proofErr w:type="spellEnd"/>
      <w:r w:rsidRPr="00C60D44">
        <w:rPr>
          <w:rFonts w:ascii="Times New Roman" w:hAnsi="Times New Roman"/>
          <w:sz w:val="22"/>
          <w:szCs w:val="22"/>
        </w:rPr>
        <w:t xml:space="preserve"> into a triblock copolymer based on the </w:t>
      </w:r>
      <w:proofErr w:type="spellStart"/>
      <w:r w:rsidRPr="00C60D44">
        <w:rPr>
          <w:rFonts w:ascii="Times New Roman" w:hAnsi="Times New Roman"/>
          <w:sz w:val="22"/>
          <w:szCs w:val="22"/>
        </w:rPr>
        <w:t>Ringsdorf</w:t>
      </w:r>
      <w:proofErr w:type="spellEnd"/>
      <w:r w:rsidRPr="00C60D44">
        <w:rPr>
          <w:rFonts w:ascii="Times New Roman" w:hAnsi="Times New Roman"/>
          <w:sz w:val="22"/>
          <w:szCs w:val="22"/>
        </w:rPr>
        <w:t xml:space="preserve"> depot model</w:t>
      </w:r>
      <w:r w:rsidR="00733AE2">
        <w:rPr>
          <w:rFonts w:ascii="Times New Roman" w:hAnsi="Times New Roman"/>
          <w:sz w:val="22"/>
          <w:szCs w:val="22"/>
          <w:vertAlign w:val="superscript"/>
        </w:rPr>
        <w:t>10</w:t>
      </w:r>
      <w:r w:rsidRPr="00C60D44">
        <w:rPr>
          <w:rFonts w:ascii="Times New Roman" w:hAnsi="Times New Roman"/>
          <w:sz w:val="22"/>
          <w:szCs w:val="22"/>
        </w:rPr>
        <w:t>.</w:t>
      </w:r>
      <w:r w:rsidR="000B137C" w:rsidRPr="00C60D44">
        <w:rPr>
          <w:rFonts w:ascii="Times New Roman" w:hAnsi="Times New Roman"/>
          <w:sz w:val="22"/>
          <w:szCs w:val="22"/>
        </w:rPr>
        <w:t xml:space="preserve"> </w:t>
      </w:r>
      <w:r w:rsidRPr="00C60D44">
        <w:rPr>
          <w:rFonts w:ascii="Times New Roman" w:hAnsi="Times New Roman"/>
          <w:sz w:val="22"/>
          <w:szCs w:val="22"/>
        </w:rPr>
        <w:t xml:space="preserve">A statistical copolymer of </w:t>
      </w:r>
      <w:proofErr w:type="spellStart"/>
      <w:r w:rsidR="00617B03" w:rsidRPr="00C60D44">
        <w:rPr>
          <w:rFonts w:ascii="Times New Roman" w:hAnsi="Times New Roman"/>
          <w:sz w:val="22"/>
          <w:szCs w:val="22"/>
        </w:rPr>
        <w:t>mSA</w:t>
      </w:r>
      <w:proofErr w:type="spellEnd"/>
      <w:r w:rsidRPr="00C60D44">
        <w:rPr>
          <w:rFonts w:ascii="Times New Roman" w:hAnsi="Times New Roman"/>
          <w:sz w:val="22"/>
          <w:szCs w:val="22"/>
        </w:rPr>
        <w:t xml:space="preserve">, </w:t>
      </w:r>
      <w:r w:rsidRPr="00C60D44">
        <w:rPr>
          <w:rFonts w:ascii="Times New Roman" w:hAnsi="Times New Roman"/>
          <w:i/>
          <w:sz w:val="22"/>
          <w:szCs w:val="22"/>
        </w:rPr>
        <w:t>N</w:t>
      </w:r>
      <w:r w:rsidRPr="00C60D44">
        <w:rPr>
          <w:rFonts w:ascii="Times New Roman" w:hAnsi="Times New Roman"/>
          <w:sz w:val="22"/>
          <w:szCs w:val="22"/>
        </w:rPr>
        <w:t>-2-</w:t>
      </w:r>
      <w:r w:rsidR="00236798">
        <w:rPr>
          <w:noProof/>
        </w:rPr>
        <w:drawing>
          <wp:inline distT="0" distB="0" distL="0" distR="0" wp14:anchorId="6E2DB53A" wp14:editId="6A8E6130">
            <wp:extent cx="2971800" cy="1381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0" cy="1381125"/>
                    </a:xfrm>
                    <a:prstGeom prst="rect">
                      <a:avLst/>
                    </a:prstGeom>
                    <a:noFill/>
                    <a:ln>
                      <a:noFill/>
                    </a:ln>
                  </pic:spPr>
                </pic:pic>
              </a:graphicData>
            </a:graphic>
          </wp:inline>
        </w:drawing>
      </w:r>
      <w:r w:rsidR="00236798">
        <w:rPr>
          <w:rFonts w:ascii="Times New Roman" w:hAnsi="Times New Roman"/>
          <w:noProof/>
          <w:sz w:val="22"/>
          <w:szCs w:val="22"/>
        </w:rPr>
        <mc:AlternateContent>
          <mc:Choice Requires="wps">
            <w:drawing>
              <wp:inline distT="0" distB="0" distL="0" distR="0" wp14:anchorId="733356A9" wp14:editId="139084A3">
                <wp:extent cx="2743200" cy="685800"/>
                <wp:effectExtent l="0" t="0" r="0" b="0"/>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8F88C" w14:textId="77777777" w:rsidR="00733AE2" w:rsidRPr="00206CE5" w:rsidRDefault="00733AE2" w:rsidP="00733AE2">
                            <w:pPr>
                              <w:jc w:val="center"/>
                              <w:rPr>
                                <w:rFonts w:ascii="Times New Roman" w:hAnsi="Times New Roman"/>
                                <w:sz w:val="22"/>
                              </w:rPr>
                            </w:pPr>
                            <w:r>
                              <w:rPr>
                                <w:rFonts w:ascii="Times New Roman" w:hAnsi="Times New Roman"/>
                                <w:b/>
                                <w:sz w:val="22"/>
                              </w:rPr>
                              <w:t xml:space="preserve">  Figure 2.</w:t>
                            </w:r>
                            <w:r>
                              <w:rPr>
                                <w:rFonts w:ascii="Times New Roman" w:hAnsi="Times New Roman"/>
                                <w:sz w:val="22"/>
                              </w:rPr>
                              <w:t xml:space="preserve"> Selected </w:t>
                            </w:r>
                            <w:proofErr w:type="spellStart"/>
                            <w:r>
                              <w:rPr>
                                <w:rFonts w:ascii="Times New Roman" w:hAnsi="Times New Roman"/>
                                <w:sz w:val="22"/>
                              </w:rPr>
                              <w:t>methacryloylsulfonamide</w:t>
                            </w:r>
                            <w:proofErr w:type="spellEnd"/>
                            <w:r>
                              <w:rPr>
                                <w:rFonts w:ascii="Times New Roman" w:hAnsi="Times New Roman"/>
                                <w:sz w:val="22"/>
                              </w:rPr>
                              <w:t xml:space="preserve"> monomers (</w:t>
                            </w:r>
                            <w:proofErr w:type="spellStart"/>
                            <w:r>
                              <w:rPr>
                                <w:rFonts w:ascii="Times New Roman" w:hAnsi="Times New Roman"/>
                                <w:sz w:val="22"/>
                              </w:rPr>
                              <w:t>mSA</w:t>
                            </w:r>
                            <w:proofErr w:type="spellEnd"/>
                            <w:r>
                              <w:rPr>
                                <w:rFonts w:ascii="Times New Roman" w:hAnsi="Times New Roman"/>
                                <w:sz w:val="22"/>
                              </w:rPr>
                              <w:t xml:space="preserve">) and corresponding </w:t>
                            </w:r>
                            <w:proofErr w:type="spellStart"/>
                            <w:r>
                              <w:rPr>
                                <w:rFonts w:ascii="Times New Roman" w:hAnsi="Times New Roman"/>
                                <w:sz w:val="22"/>
                              </w:rPr>
                              <w:t>pK</w:t>
                            </w:r>
                            <w:r>
                              <w:rPr>
                                <w:rFonts w:ascii="Times New Roman" w:hAnsi="Times New Roman"/>
                                <w:sz w:val="22"/>
                                <w:vertAlign w:val="subscript"/>
                              </w:rPr>
                              <w:t>a</w:t>
                            </w:r>
                            <w:proofErr w:type="spellEnd"/>
                            <w:r>
                              <w:rPr>
                                <w:rFonts w:ascii="Times New Roman" w:hAnsi="Times New Roman"/>
                                <w:sz w:val="22"/>
                              </w:rPr>
                              <w:t xml:space="preserve"> values</w:t>
                            </w:r>
                          </w:p>
                        </w:txbxContent>
                      </wps:txbx>
                      <wps:bodyPr rot="0" vert="horz" wrap="square" lIns="91440" tIns="91440" rIns="91440" bIns="91440" anchor="t" anchorCtr="0" upright="1">
                        <a:noAutofit/>
                      </wps:bodyPr>
                    </wps:wsp>
                  </a:graphicData>
                </a:graphic>
              </wp:inline>
            </w:drawing>
          </mc:Choice>
          <mc:Fallback>
            <w:pict>
              <v:shape id="Text Box 55" o:spid="_x0000_s1027" type="#_x0000_t202" style="width:3in;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" filled="f" stroked="f">
                <v:textbox inset=",7.2pt,,7.2pt">
                  <w:txbxContent>
                    <w:p w:rsidR="00733AE2" w:rsidRPr="00206CE5" w:rsidRDefault="00733AE2" w:rsidP="00733AE2">
                      <w:pPr>
                        <w:jc w:val="center"/>
                        <w:rPr>
                          <w:rFonts w:ascii="Times New Roman" w:hAnsi="Times New Roman"/>
                          <w:sz w:val="22"/>
                        </w:rPr>
                      </w:pPr>
                      <w:r>
                        <w:rPr>
                          <w:rFonts w:ascii="Times New Roman" w:hAnsi="Times New Roman"/>
                          <w:b/>
                          <w:sz w:val="22"/>
                        </w:rPr>
                        <w:t xml:space="preserve">  Figure 2.</w:t>
                      </w:r>
                      <w:r>
                        <w:rPr>
                          <w:rFonts w:ascii="Times New Roman" w:hAnsi="Times New Roman"/>
                          <w:sz w:val="22"/>
                        </w:rPr>
                        <w:t xml:space="preserve"> Selected </w:t>
                      </w:r>
                      <w:proofErr w:type="spellStart"/>
                      <w:r>
                        <w:rPr>
                          <w:rFonts w:ascii="Times New Roman" w:hAnsi="Times New Roman"/>
                          <w:sz w:val="22"/>
                        </w:rPr>
                        <w:t>methacryloylsulfonamide</w:t>
                      </w:r>
                      <w:proofErr w:type="spellEnd"/>
                      <w:r>
                        <w:rPr>
                          <w:rFonts w:ascii="Times New Roman" w:hAnsi="Times New Roman"/>
                          <w:sz w:val="22"/>
                        </w:rPr>
                        <w:t xml:space="preserve"> monomers (</w:t>
                      </w:r>
                      <w:proofErr w:type="spellStart"/>
                      <w:r>
                        <w:rPr>
                          <w:rFonts w:ascii="Times New Roman" w:hAnsi="Times New Roman"/>
                          <w:sz w:val="22"/>
                        </w:rPr>
                        <w:t>mSA</w:t>
                      </w:r>
                      <w:proofErr w:type="spellEnd"/>
                      <w:r>
                        <w:rPr>
                          <w:rFonts w:ascii="Times New Roman" w:hAnsi="Times New Roman"/>
                          <w:sz w:val="22"/>
                        </w:rPr>
                        <w:t xml:space="preserve">) and corresponding </w:t>
                      </w:r>
                      <w:proofErr w:type="spellStart"/>
                      <w:r>
                        <w:rPr>
                          <w:rFonts w:ascii="Times New Roman" w:hAnsi="Times New Roman"/>
                          <w:sz w:val="22"/>
                        </w:rPr>
                        <w:t>pK</w:t>
                      </w:r>
                      <w:r>
                        <w:rPr>
                          <w:rFonts w:ascii="Times New Roman" w:hAnsi="Times New Roman"/>
                          <w:sz w:val="22"/>
                          <w:vertAlign w:val="subscript"/>
                        </w:rPr>
                        <w:t>a</w:t>
                      </w:r>
                      <w:proofErr w:type="spellEnd"/>
                      <w:r>
                        <w:rPr>
                          <w:rFonts w:ascii="Times New Roman" w:hAnsi="Times New Roman"/>
                          <w:sz w:val="22"/>
                        </w:rPr>
                        <w:t xml:space="preserve"> values</w:t>
                      </w:r>
                    </w:p>
                  </w:txbxContent>
                </v:textbox>
                <w10:anchorlock/>
              </v:shape>
            </w:pict>
          </mc:Fallback>
        </mc:AlternateContent>
      </w:r>
      <w:proofErr w:type="spellStart"/>
      <w:r w:rsidRPr="00C60D44">
        <w:rPr>
          <w:rFonts w:ascii="Times New Roman" w:hAnsi="Times New Roman"/>
          <w:sz w:val="22"/>
          <w:szCs w:val="22"/>
        </w:rPr>
        <w:t>hydroxypropylmethacrylamide</w:t>
      </w:r>
      <w:proofErr w:type="spellEnd"/>
      <w:r w:rsidRPr="00C60D44">
        <w:rPr>
          <w:rFonts w:ascii="Times New Roman" w:hAnsi="Times New Roman"/>
          <w:sz w:val="22"/>
          <w:szCs w:val="22"/>
        </w:rPr>
        <w:t xml:space="preserve"> (HPMA), and </w:t>
      </w:r>
      <w:r w:rsidRPr="00C60D44">
        <w:rPr>
          <w:rFonts w:ascii="Times New Roman" w:hAnsi="Times New Roman"/>
          <w:i/>
          <w:sz w:val="22"/>
          <w:szCs w:val="22"/>
        </w:rPr>
        <w:t>N</w:t>
      </w:r>
      <w:r w:rsidRPr="00C60D44">
        <w:rPr>
          <w:rFonts w:ascii="Times New Roman" w:hAnsi="Times New Roman"/>
          <w:sz w:val="22"/>
          <w:szCs w:val="22"/>
        </w:rPr>
        <w:t>-(3-aminopropyl)</w:t>
      </w:r>
      <w:proofErr w:type="spellStart"/>
      <w:r w:rsidRPr="00C60D44">
        <w:rPr>
          <w:rFonts w:ascii="Times New Roman" w:hAnsi="Times New Roman"/>
          <w:sz w:val="22"/>
          <w:szCs w:val="22"/>
        </w:rPr>
        <w:t>methacrylamide</w:t>
      </w:r>
      <w:proofErr w:type="spellEnd"/>
      <w:r w:rsidRPr="00C60D44">
        <w:rPr>
          <w:rFonts w:ascii="Times New Roman" w:hAnsi="Times New Roman"/>
          <w:sz w:val="22"/>
          <w:szCs w:val="22"/>
        </w:rPr>
        <w:t xml:space="preserve"> (APMA) will be prepared as a water-soluble, biocompatible block</w:t>
      </w:r>
      <w:r w:rsidR="00617B03" w:rsidRPr="00C60D44">
        <w:rPr>
          <w:rFonts w:ascii="Times New Roman" w:hAnsi="Times New Roman"/>
          <w:sz w:val="22"/>
          <w:szCs w:val="22"/>
        </w:rPr>
        <w:t xml:space="preserve"> containing amine reactive functionality for further polymer modification</w:t>
      </w:r>
      <w:r w:rsidRPr="00C60D44">
        <w:rPr>
          <w:rFonts w:ascii="Times New Roman" w:hAnsi="Times New Roman"/>
          <w:sz w:val="22"/>
          <w:szCs w:val="22"/>
        </w:rPr>
        <w:t>.</w:t>
      </w:r>
      <w:r w:rsidR="000B137C" w:rsidRPr="00C60D44">
        <w:rPr>
          <w:rFonts w:ascii="Times New Roman" w:hAnsi="Times New Roman"/>
          <w:sz w:val="22"/>
          <w:szCs w:val="22"/>
        </w:rPr>
        <w:t xml:space="preserve"> This polymer will then be functionalized with siRNA and folate targeting groups in preparation for cell studies. </w:t>
      </w:r>
      <w:r w:rsidR="00586693" w:rsidRPr="00C60D44">
        <w:rPr>
          <w:rFonts w:ascii="Times New Roman" w:hAnsi="Times New Roman"/>
          <w:sz w:val="22"/>
          <w:szCs w:val="22"/>
        </w:rPr>
        <w:t xml:space="preserve">Finally, the functionalized polymer will be used in </w:t>
      </w:r>
      <w:r w:rsidR="00586693" w:rsidRPr="00C60D44">
        <w:rPr>
          <w:rFonts w:ascii="Times New Roman" w:hAnsi="Times New Roman"/>
          <w:i/>
          <w:sz w:val="22"/>
          <w:szCs w:val="22"/>
        </w:rPr>
        <w:t>in vivo</w:t>
      </w:r>
      <w:r w:rsidR="00586693" w:rsidRPr="00C60D44">
        <w:rPr>
          <w:rFonts w:ascii="Times New Roman" w:hAnsi="Times New Roman"/>
          <w:sz w:val="22"/>
          <w:szCs w:val="22"/>
        </w:rPr>
        <w:t xml:space="preserve"> gene knockdown studies to determine therapeutic efficacy.</w:t>
      </w:r>
    </w:p>
    <w:p w14:paraId="25D7A968" w14:textId="77777777" w:rsidR="00590FD5" w:rsidRPr="00C60D44" w:rsidRDefault="00590FD5" w:rsidP="000B137C">
      <w:pPr>
        <w:ind w:firstLine="360"/>
        <w:jc w:val="both"/>
        <w:rPr>
          <w:rFonts w:ascii="Times New Roman" w:hAnsi="Times New Roman"/>
          <w:sz w:val="22"/>
          <w:szCs w:val="22"/>
        </w:rPr>
        <w:sectPr w:rsidR="00590FD5" w:rsidRPr="00C60D44" w:rsidSect="00C60D44">
          <w:type w:val="continuous"/>
          <w:pgSz w:w="12240" w:h="15840"/>
          <w:pgMar w:top="1440" w:right="1440" w:bottom="1440" w:left="1440" w:header="720" w:footer="720" w:gutter="0"/>
          <w:cols w:num="2" w:space="720"/>
        </w:sectPr>
      </w:pPr>
      <w:r w:rsidRPr="00C60D44">
        <w:rPr>
          <w:rFonts w:ascii="Times New Roman" w:hAnsi="Times New Roman"/>
          <w:sz w:val="22"/>
          <w:szCs w:val="22"/>
        </w:rPr>
        <w:t>In conclusion, I propose to study the efficacy of sulfonamide</w:t>
      </w:r>
      <w:r w:rsidR="00617B03" w:rsidRPr="00C60D44">
        <w:rPr>
          <w:rFonts w:ascii="Times New Roman" w:hAnsi="Times New Roman"/>
          <w:sz w:val="22"/>
          <w:szCs w:val="22"/>
        </w:rPr>
        <w:t>-containing</w:t>
      </w:r>
      <w:r w:rsidRPr="00C60D44">
        <w:rPr>
          <w:rFonts w:ascii="Times New Roman" w:hAnsi="Times New Roman"/>
          <w:sz w:val="22"/>
          <w:szCs w:val="22"/>
        </w:rPr>
        <w:t xml:space="preserve"> polymer</w:t>
      </w:r>
      <w:r w:rsidR="00617B03" w:rsidRPr="00C60D44">
        <w:rPr>
          <w:rFonts w:ascii="Times New Roman" w:hAnsi="Times New Roman"/>
          <w:sz w:val="22"/>
          <w:szCs w:val="22"/>
        </w:rPr>
        <w:t>s</w:t>
      </w:r>
      <w:r w:rsidRPr="00C60D44">
        <w:rPr>
          <w:rFonts w:ascii="Times New Roman" w:hAnsi="Times New Roman"/>
          <w:sz w:val="22"/>
          <w:szCs w:val="22"/>
        </w:rPr>
        <w:t xml:space="preserve"> </w:t>
      </w:r>
      <w:r w:rsidR="00617B03" w:rsidRPr="00C60D44">
        <w:rPr>
          <w:rFonts w:ascii="Times New Roman" w:hAnsi="Times New Roman"/>
          <w:sz w:val="22"/>
          <w:szCs w:val="22"/>
        </w:rPr>
        <w:t xml:space="preserve">to </w:t>
      </w:r>
      <w:r w:rsidRPr="00C60D44">
        <w:rPr>
          <w:rFonts w:ascii="Times New Roman" w:hAnsi="Times New Roman"/>
          <w:sz w:val="22"/>
          <w:szCs w:val="22"/>
        </w:rPr>
        <w:t>facilitat</w:t>
      </w:r>
      <w:r w:rsidR="00617B03" w:rsidRPr="00C60D44">
        <w:rPr>
          <w:rFonts w:ascii="Times New Roman" w:hAnsi="Times New Roman"/>
          <w:sz w:val="22"/>
          <w:szCs w:val="22"/>
        </w:rPr>
        <w:t>e</w:t>
      </w:r>
      <w:r w:rsidRPr="00C60D44">
        <w:rPr>
          <w:rFonts w:ascii="Times New Roman" w:hAnsi="Times New Roman"/>
          <w:sz w:val="22"/>
          <w:szCs w:val="22"/>
        </w:rPr>
        <w:t xml:space="preserve"> endosomal escape</w:t>
      </w:r>
      <w:r w:rsidR="00E72391">
        <w:rPr>
          <w:rFonts w:ascii="Times New Roman" w:hAnsi="Times New Roman"/>
          <w:sz w:val="22"/>
          <w:szCs w:val="22"/>
        </w:rPr>
        <w:t xml:space="preserve"> and eventually fulfill the </w:t>
      </w:r>
      <w:proofErr w:type="spellStart"/>
      <w:r w:rsidR="00E72391">
        <w:rPr>
          <w:rFonts w:ascii="Times New Roman" w:hAnsi="Times New Roman"/>
          <w:sz w:val="22"/>
          <w:szCs w:val="22"/>
        </w:rPr>
        <w:t>Ringsdorf</w:t>
      </w:r>
      <w:proofErr w:type="spellEnd"/>
      <w:r w:rsidR="00E72391">
        <w:rPr>
          <w:rFonts w:ascii="Times New Roman" w:hAnsi="Times New Roman"/>
          <w:sz w:val="22"/>
          <w:szCs w:val="22"/>
        </w:rPr>
        <w:t xml:space="preserve"> delivery model</w:t>
      </w:r>
      <w:r w:rsidRPr="00C60D44">
        <w:rPr>
          <w:rFonts w:ascii="Times New Roman" w:hAnsi="Times New Roman"/>
          <w:sz w:val="22"/>
          <w:szCs w:val="22"/>
        </w:rPr>
        <w:t xml:space="preserve">.  Sulfonamides are readily available, biocompatible, and easily converted into a RAFT-compatible </w:t>
      </w:r>
      <w:r w:rsidR="00617B03" w:rsidRPr="00C60D44">
        <w:rPr>
          <w:rFonts w:ascii="Times New Roman" w:hAnsi="Times New Roman"/>
          <w:sz w:val="22"/>
          <w:szCs w:val="22"/>
        </w:rPr>
        <w:t>monomers</w:t>
      </w:r>
      <w:r w:rsidRPr="00C60D44">
        <w:rPr>
          <w:rFonts w:ascii="Times New Roman" w:hAnsi="Times New Roman"/>
          <w:sz w:val="22"/>
          <w:szCs w:val="22"/>
        </w:rPr>
        <w:t>, making them ideal for polymeric delivery systems.  By improving the viability of siRNA as a cancer treatment method, development of such a polymeric system may eventually yield a milder and more accessible form of therapy.</w:t>
      </w:r>
    </w:p>
    <w:p w14:paraId="5D8AB406" w14:textId="77777777" w:rsidR="00590FD5" w:rsidRPr="00C60D44" w:rsidRDefault="00590FD5" w:rsidP="00590FD5">
      <w:pPr>
        <w:jc w:val="both"/>
        <w:rPr>
          <w:rFonts w:ascii="Times New Roman" w:hAnsi="Times New Roman"/>
          <w:b/>
          <w:sz w:val="22"/>
          <w:szCs w:val="22"/>
        </w:rPr>
      </w:pPr>
    </w:p>
    <w:p w14:paraId="2D2941B1" w14:textId="77777777" w:rsidR="00590FD5" w:rsidRPr="00C60D44" w:rsidRDefault="00590FD5" w:rsidP="00590FD5">
      <w:pPr>
        <w:jc w:val="both"/>
        <w:rPr>
          <w:rFonts w:ascii="Times New Roman" w:hAnsi="Times New Roman"/>
          <w:sz w:val="22"/>
          <w:szCs w:val="22"/>
        </w:rPr>
      </w:pPr>
      <w:r w:rsidRPr="00C60D44">
        <w:rPr>
          <w:rFonts w:ascii="Times New Roman" w:hAnsi="Times New Roman"/>
          <w:b/>
          <w:sz w:val="22"/>
          <w:szCs w:val="22"/>
        </w:rPr>
        <w:t>References:</w:t>
      </w:r>
    </w:p>
    <w:p w14:paraId="22C9F247" w14:textId="77777777" w:rsidR="00590FD5" w:rsidRPr="00C60D44" w:rsidRDefault="00590FD5" w:rsidP="00590FD5">
      <w:pPr>
        <w:pStyle w:val="DarkList-Accent51"/>
        <w:numPr>
          <w:ilvl w:val="0"/>
          <w:numId w:val="1"/>
        </w:numPr>
        <w:jc w:val="both"/>
        <w:rPr>
          <w:rFonts w:ascii="Times New Roman" w:hAnsi="Times New Roman"/>
          <w:sz w:val="22"/>
          <w:szCs w:val="22"/>
        </w:rPr>
      </w:pPr>
      <w:r w:rsidRPr="00C60D44">
        <w:rPr>
          <w:rFonts w:ascii="Times New Roman" w:hAnsi="Times New Roman"/>
          <w:sz w:val="22"/>
          <w:szCs w:val="22"/>
        </w:rPr>
        <w:t>American Cancer Society. Cancer Facts &amp; Figures. Accessed 2011-11-21</w:t>
      </w:r>
    </w:p>
    <w:p w14:paraId="38605281" w14:textId="77777777" w:rsidR="00590FD5" w:rsidRPr="00C60D44" w:rsidRDefault="00590FD5" w:rsidP="00590FD5">
      <w:pPr>
        <w:pStyle w:val="DarkList-Accent51"/>
        <w:numPr>
          <w:ilvl w:val="0"/>
          <w:numId w:val="1"/>
        </w:numPr>
        <w:jc w:val="both"/>
        <w:rPr>
          <w:rFonts w:ascii="Times New Roman" w:hAnsi="Times New Roman"/>
          <w:sz w:val="22"/>
          <w:szCs w:val="22"/>
        </w:rPr>
      </w:pPr>
      <w:r w:rsidRPr="00C60D44">
        <w:rPr>
          <w:rFonts w:ascii="Times New Roman" w:hAnsi="Times New Roman"/>
          <w:sz w:val="22"/>
          <w:szCs w:val="22"/>
        </w:rPr>
        <w:t xml:space="preserve">Freeman, A.; Mayhew, E.; (1986) </w:t>
      </w:r>
      <w:r w:rsidRPr="00C60D44">
        <w:rPr>
          <w:rFonts w:ascii="Times New Roman" w:hAnsi="Times New Roman"/>
          <w:i/>
          <w:sz w:val="22"/>
          <w:szCs w:val="22"/>
        </w:rPr>
        <w:t>Cancer</w:t>
      </w:r>
      <w:r w:rsidRPr="00C60D44">
        <w:rPr>
          <w:rFonts w:ascii="Times New Roman" w:hAnsi="Times New Roman"/>
          <w:sz w:val="22"/>
          <w:szCs w:val="22"/>
        </w:rPr>
        <w:t xml:space="preserve">, </w:t>
      </w:r>
      <w:r w:rsidRPr="00C60D44">
        <w:rPr>
          <w:rFonts w:ascii="Times New Roman" w:hAnsi="Times New Roman"/>
          <w:i/>
          <w:sz w:val="22"/>
          <w:szCs w:val="22"/>
        </w:rPr>
        <w:t>58</w:t>
      </w:r>
      <w:r w:rsidRPr="00C60D44">
        <w:rPr>
          <w:rFonts w:ascii="Times New Roman" w:hAnsi="Times New Roman"/>
          <w:sz w:val="22"/>
          <w:szCs w:val="22"/>
        </w:rPr>
        <w:t>, 573-583</w:t>
      </w:r>
    </w:p>
    <w:p w14:paraId="6249E7FE" w14:textId="77777777" w:rsidR="00590FD5" w:rsidRPr="00C60D44" w:rsidRDefault="00590FD5" w:rsidP="00590FD5">
      <w:pPr>
        <w:pStyle w:val="DarkList-Accent51"/>
        <w:numPr>
          <w:ilvl w:val="0"/>
          <w:numId w:val="1"/>
        </w:numPr>
        <w:jc w:val="both"/>
        <w:rPr>
          <w:rFonts w:ascii="Times New Roman" w:hAnsi="Times New Roman"/>
          <w:sz w:val="22"/>
          <w:szCs w:val="22"/>
        </w:rPr>
      </w:pPr>
      <w:r w:rsidRPr="00C60D44">
        <w:rPr>
          <w:rFonts w:ascii="Times New Roman" w:hAnsi="Times New Roman"/>
          <w:sz w:val="22"/>
          <w:szCs w:val="22"/>
        </w:rPr>
        <w:t xml:space="preserve">Smith, D.; Holley, A.C.; McCormick, C.L.; (2011) </w:t>
      </w:r>
      <w:proofErr w:type="spellStart"/>
      <w:r w:rsidRPr="00C60D44">
        <w:rPr>
          <w:rFonts w:ascii="Times New Roman" w:hAnsi="Times New Roman"/>
          <w:i/>
          <w:sz w:val="22"/>
          <w:szCs w:val="22"/>
        </w:rPr>
        <w:t>Polym</w:t>
      </w:r>
      <w:proofErr w:type="spellEnd"/>
      <w:r w:rsidRPr="00C60D44">
        <w:rPr>
          <w:rFonts w:ascii="Times New Roman" w:hAnsi="Times New Roman"/>
          <w:i/>
          <w:sz w:val="22"/>
          <w:szCs w:val="22"/>
        </w:rPr>
        <w:t>. Chem., 2</w:t>
      </w:r>
      <w:r w:rsidRPr="00C60D44">
        <w:rPr>
          <w:rFonts w:ascii="Times New Roman" w:hAnsi="Times New Roman"/>
          <w:sz w:val="22"/>
          <w:szCs w:val="22"/>
        </w:rPr>
        <w:t>, 1428-1441</w:t>
      </w:r>
    </w:p>
    <w:p w14:paraId="4855DFE7" w14:textId="77777777" w:rsidR="00590FD5" w:rsidRPr="00C60D44" w:rsidRDefault="00590FD5" w:rsidP="00590FD5">
      <w:pPr>
        <w:pStyle w:val="DarkList-Accent51"/>
        <w:numPr>
          <w:ilvl w:val="0"/>
          <w:numId w:val="1"/>
        </w:numPr>
        <w:jc w:val="both"/>
        <w:rPr>
          <w:rFonts w:ascii="Times New Roman" w:hAnsi="Times New Roman"/>
          <w:sz w:val="22"/>
          <w:szCs w:val="22"/>
        </w:rPr>
      </w:pPr>
      <w:r w:rsidRPr="00C60D44">
        <w:rPr>
          <w:rFonts w:ascii="Times New Roman" w:hAnsi="Times New Roman"/>
          <w:sz w:val="22"/>
          <w:szCs w:val="22"/>
        </w:rPr>
        <w:t xml:space="preserve">Xu, L.; </w:t>
      </w:r>
      <w:proofErr w:type="spellStart"/>
      <w:r w:rsidRPr="00C60D44">
        <w:rPr>
          <w:rFonts w:ascii="Times New Roman" w:hAnsi="Times New Roman"/>
          <w:sz w:val="22"/>
          <w:szCs w:val="22"/>
        </w:rPr>
        <w:t>Anchordoquy</w:t>
      </w:r>
      <w:proofErr w:type="spellEnd"/>
      <w:r w:rsidRPr="00C60D44">
        <w:rPr>
          <w:rFonts w:ascii="Times New Roman" w:hAnsi="Times New Roman"/>
          <w:sz w:val="22"/>
          <w:szCs w:val="22"/>
        </w:rPr>
        <w:t xml:space="preserve">, T.; (2010) </w:t>
      </w:r>
      <w:r w:rsidRPr="00C60D44">
        <w:rPr>
          <w:rFonts w:ascii="Times New Roman" w:hAnsi="Times New Roman"/>
          <w:i/>
          <w:sz w:val="22"/>
          <w:szCs w:val="22"/>
        </w:rPr>
        <w:t>J. Pharm. Sci.</w:t>
      </w:r>
      <w:r w:rsidRPr="00C60D44">
        <w:rPr>
          <w:rFonts w:ascii="Times New Roman" w:hAnsi="Times New Roman"/>
          <w:sz w:val="22"/>
          <w:szCs w:val="22"/>
        </w:rPr>
        <w:t xml:space="preserve">, </w:t>
      </w:r>
      <w:r w:rsidRPr="00C60D44">
        <w:rPr>
          <w:rFonts w:ascii="Times New Roman" w:hAnsi="Times New Roman"/>
          <w:i/>
          <w:sz w:val="22"/>
          <w:szCs w:val="22"/>
        </w:rPr>
        <w:t>100</w:t>
      </w:r>
      <w:r w:rsidRPr="00C60D44">
        <w:rPr>
          <w:rFonts w:ascii="Times New Roman" w:hAnsi="Times New Roman"/>
          <w:sz w:val="22"/>
          <w:szCs w:val="22"/>
        </w:rPr>
        <w:t>, 38-52</w:t>
      </w:r>
    </w:p>
    <w:p w14:paraId="217B7896" w14:textId="77777777" w:rsidR="00590FD5" w:rsidRPr="00C60D44" w:rsidRDefault="00590FD5" w:rsidP="00590FD5">
      <w:pPr>
        <w:pStyle w:val="DarkList-Accent51"/>
        <w:numPr>
          <w:ilvl w:val="0"/>
          <w:numId w:val="1"/>
        </w:numPr>
        <w:jc w:val="both"/>
        <w:rPr>
          <w:rFonts w:ascii="Times New Roman" w:hAnsi="Times New Roman"/>
          <w:sz w:val="22"/>
          <w:szCs w:val="22"/>
        </w:rPr>
      </w:pPr>
      <w:proofErr w:type="spellStart"/>
      <w:r w:rsidRPr="00C60D44">
        <w:rPr>
          <w:rFonts w:ascii="Times New Roman" w:hAnsi="Times New Roman"/>
          <w:sz w:val="22"/>
          <w:szCs w:val="22"/>
        </w:rPr>
        <w:t>Ringsdorf</w:t>
      </w:r>
      <w:proofErr w:type="spellEnd"/>
      <w:r w:rsidRPr="00C60D44">
        <w:rPr>
          <w:rFonts w:ascii="Times New Roman" w:hAnsi="Times New Roman"/>
          <w:sz w:val="22"/>
          <w:szCs w:val="22"/>
        </w:rPr>
        <w:t xml:space="preserve">, H.; (1975) </w:t>
      </w:r>
      <w:r w:rsidRPr="00C60D44">
        <w:rPr>
          <w:rFonts w:ascii="Times New Roman" w:hAnsi="Times New Roman"/>
          <w:i/>
          <w:sz w:val="22"/>
          <w:szCs w:val="22"/>
        </w:rPr>
        <w:t xml:space="preserve">J. </w:t>
      </w:r>
      <w:proofErr w:type="spellStart"/>
      <w:r w:rsidRPr="00C60D44">
        <w:rPr>
          <w:rFonts w:ascii="Times New Roman" w:hAnsi="Times New Roman"/>
          <w:i/>
          <w:sz w:val="22"/>
          <w:szCs w:val="22"/>
        </w:rPr>
        <w:t>Polym</w:t>
      </w:r>
      <w:proofErr w:type="spellEnd"/>
      <w:r w:rsidRPr="00C60D44">
        <w:rPr>
          <w:rFonts w:ascii="Times New Roman" w:hAnsi="Times New Roman"/>
          <w:i/>
          <w:sz w:val="22"/>
          <w:szCs w:val="22"/>
        </w:rPr>
        <w:t xml:space="preserve">. Sci. </w:t>
      </w:r>
      <w:proofErr w:type="spellStart"/>
      <w:r w:rsidRPr="00C60D44">
        <w:rPr>
          <w:rFonts w:ascii="Times New Roman" w:hAnsi="Times New Roman"/>
          <w:i/>
          <w:sz w:val="22"/>
          <w:szCs w:val="22"/>
        </w:rPr>
        <w:t>Symp</w:t>
      </w:r>
      <w:proofErr w:type="spellEnd"/>
      <w:r w:rsidRPr="00C60D44">
        <w:rPr>
          <w:rFonts w:ascii="Times New Roman" w:hAnsi="Times New Roman"/>
          <w:i/>
          <w:sz w:val="22"/>
          <w:szCs w:val="22"/>
        </w:rPr>
        <w:t>., 51</w:t>
      </w:r>
      <w:r w:rsidRPr="00C60D44">
        <w:rPr>
          <w:rFonts w:ascii="Times New Roman" w:hAnsi="Times New Roman"/>
          <w:sz w:val="22"/>
          <w:szCs w:val="22"/>
        </w:rPr>
        <w:t>, 135–153</w:t>
      </w:r>
    </w:p>
    <w:p w14:paraId="18CDD9E7" w14:textId="77777777" w:rsidR="00590FD5" w:rsidRPr="00C60D44" w:rsidRDefault="00590FD5" w:rsidP="00590FD5">
      <w:pPr>
        <w:pStyle w:val="DarkList-Accent51"/>
        <w:numPr>
          <w:ilvl w:val="0"/>
          <w:numId w:val="1"/>
        </w:numPr>
        <w:jc w:val="both"/>
        <w:rPr>
          <w:rFonts w:ascii="Times New Roman" w:hAnsi="Times New Roman"/>
          <w:sz w:val="22"/>
          <w:szCs w:val="22"/>
        </w:rPr>
      </w:pPr>
      <w:proofErr w:type="spellStart"/>
      <w:r w:rsidRPr="00C60D44">
        <w:rPr>
          <w:rFonts w:ascii="Times New Roman" w:hAnsi="Times New Roman"/>
          <w:sz w:val="22"/>
          <w:szCs w:val="22"/>
        </w:rPr>
        <w:t>Chiefari</w:t>
      </w:r>
      <w:proofErr w:type="spellEnd"/>
      <w:r w:rsidRPr="00C60D44">
        <w:rPr>
          <w:rFonts w:ascii="Times New Roman" w:hAnsi="Times New Roman"/>
          <w:sz w:val="22"/>
          <w:szCs w:val="22"/>
        </w:rPr>
        <w:t xml:space="preserve">, J.: Chong, Y.K.; </w:t>
      </w:r>
      <w:proofErr w:type="spellStart"/>
      <w:r w:rsidRPr="00C60D44">
        <w:rPr>
          <w:rFonts w:ascii="Times New Roman" w:hAnsi="Times New Roman"/>
          <w:sz w:val="22"/>
          <w:szCs w:val="22"/>
        </w:rPr>
        <w:t>Ercole</w:t>
      </w:r>
      <w:proofErr w:type="spellEnd"/>
      <w:r w:rsidRPr="00C60D44">
        <w:rPr>
          <w:rFonts w:ascii="Times New Roman" w:hAnsi="Times New Roman"/>
          <w:sz w:val="22"/>
          <w:szCs w:val="22"/>
        </w:rPr>
        <w:t xml:space="preserve">, F.; </w:t>
      </w:r>
      <w:proofErr w:type="spellStart"/>
      <w:r w:rsidRPr="00C60D44">
        <w:rPr>
          <w:rFonts w:ascii="Times New Roman" w:hAnsi="Times New Roman"/>
          <w:sz w:val="22"/>
          <w:szCs w:val="22"/>
        </w:rPr>
        <w:t>Krstina</w:t>
      </w:r>
      <w:proofErr w:type="spellEnd"/>
      <w:r w:rsidRPr="00C60D44">
        <w:rPr>
          <w:rFonts w:ascii="Times New Roman" w:hAnsi="Times New Roman"/>
          <w:sz w:val="22"/>
          <w:szCs w:val="22"/>
        </w:rPr>
        <w:t xml:space="preserve">, J.; Jeffery, J.; Le, T.P.T.; </w:t>
      </w:r>
      <w:proofErr w:type="spellStart"/>
      <w:r w:rsidRPr="00C60D44">
        <w:rPr>
          <w:rFonts w:ascii="Times New Roman" w:hAnsi="Times New Roman"/>
          <w:sz w:val="22"/>
          <w:szCs w:val="22"/>
        </w:rPr>
        <w:t>Mayadunne</w:t>
      </w:r>
      <w:proofErr w:type="spellEnd"/>
      <w:r w:rsidRPr="00C60D44">
        <w:rPr>
          <w:rFonts w:ascii="Times New Roman" w:hAnsi="Times New Roman"/>
          <w:sz w:val="22"/>
          <w:szCs w:val="22"/>
        </w:rPr>
        <w:t xml:space="preserve">, R.T.A.; </w:t>
      </w:r>
      <w:proofErr w:type="spellStart"/>
      <w:r w:rsidRPr="00C60D44">
        <w:rPr>
          <w:rFonts w:ascii="Times New Roman" w:hAnsi="Times New Roman"/>
          <w:sz w:val="22"/>
          <w:szCs w:val="22"/>
        </w:rPr>
        <w:t>Meijs</w:t>
      </w:r>
      <w:proofErr w:type="spellEnd"/>
      <w:r w:rsidRPr="00C60D44">
        <w:rPr>
          <w:rFonts w:ascii="Times New Roman" w:hAnsi="Times New Roman"/>
          <w:sz w:val="22"/>
          <w:szCs w:val="22"/>
        </w:rPr>
        <w:t xml:space="preserve">, G.F.; </w:t>
      </w:r>
      <w:proofErr w:type="spellStart"/>
      <w:r w:rsidRPr="00C60D44">
        <w:rPr>
          <w:rFonts w:ascii="Times New Roman" w:hAnsi="Times New Roman"/>
          <w:sz w:val="22"/>
          <w:szCs w:val="22"/>
        </w:rPr>
        <w:t>Moad</w:t>
      </w:r>
      <w:proofErr w:type="spellEnd"/>
      <w:r w:rsidRPr="00C60D44">
        <w:rPr>
          <w:rFonts w:ascii="Times New Roman" w:hAnsi="Times New Roman"/>
          <w:sz w:val="22"/>
          <w:szCs w:val="22"/>
        </w:rPr>
        <w:t xml:space="preserve">, C.L.; </w:t>
      </w:r>
      <w:proofErr w:type="spellStart"/>
      <w:r w:rsidRPr="00C60D44">
        <w:rPr>
          <w:rFonts w:ascii="Times New Roman" w:hAnsi="Times New Roman"/>
          <w:sz w:val="22"/>
          <w:szCs w:val="22"/>
        </w:rPr>
        <w:t>Moad</w:t>
      </w:r>
      <w:proofErr w:type="spellEnd"/>
      <w:r w:rsidRPr="00C60D44">
        <w:rPr>
          <w:rFonts w:ascii="Times New Roman" w:hAnsi="Times New Roman"/>
          <w:sz w:val="22"/>
          <w:szCs w:val="22"/>
        </w:rPr>
        <w:t xml:space="preserve">, G.; </w:t>
      </w:r>
      <w:proofErr w:type="spellStart"/>
      <w:r w:rsidRPr="00C60D44">
        <w:rPr>
          <w:rFonts w:ascii="Times New Roman" w:hAnsi="Times New Roman"/>
          <w:sz w:val="22"/>
          <w:szCs w:val="22"/>
        </w:rPr>
        <w:t>Rizzardo</w:t>
      </w:r>
      <w:proofErr w:type="spellEnd"/>
      <w:r w:rsidRPr="00C60D44">
        <w:rPr>
          <w:rFonts w:ascii="Times New Roman" w:hAnsi="Times New Roman"/>
          <w:sz w:val="22"/>
          <w:szCs w:val="22"/>
        </w:rPr>
        <w:t xml:space="preserve">, E.; Thang, S.H.; (1998) </w:t>
      </w:r>
      <w:r w:rsidRPr="00C60D44">
        <w:rPr>
          <w:rFonts w:ascii="Times New Roman" w:hAnsi="Times New Roman"/>
          <w:i/>
          <w:sz w:val="22"/>
          <w:szCs w:val="22"/>
        </w:rPr>
        <w:t>Macromolecules</w:t>
      </w:r>
      <w:r w:rsidRPr="00C60D44">
        <w:rPr>
          <w:rFonts w:ascii="Times New Roman" w:hAnsi="Times New Roman"/>
          <w:sz w:val="22"/>
          <w:szCs w:val="22"/>
        </w:rPr>
        <w:t xml:space="preserve">, </w:t>
      </w:r>
      <w:r w:rsidRPr="00C60D44">
        <w:rPr>
          <w:rFonts w:ascii="Times New Roman" w:hAnsi="Times New Roman"/>
          <w:i/>
          <w:sz w:val="22"/>
          <w:szCs w:val="22"/>
        </w:rPr>
        <w:t>31</w:t>
      </w:r>
      <w:r w:rsidRPr="00C60D44">
        <w:rPr>
          <w:rFonts w:ascii="Times New Roman" w:hAnsi="Times New Roman"/>
          <w:sz w:val="22"/>
          <w:szCs w:val="22"/>
        </w:rPr>
        <w:t>, 5559-5562</w:t>
      </w:r>
    </w:p>
    <w:p w14:paraId="2C2D2A5E" w14:textId="77777777" w:rsidR="00590FD5" w:rsidRPr="00C60D44" w:rsidRDefault="00590FD5" w:rsidP="00590FD5">
      <w:pPr>
        <w:pStyle w:val="DarkList-Accent51"/>
        <w:numPr>
          <w:ilvl w:val="0"/>
          <w:numId w:val="1"/>
        </w:numPr>
        <w:jc w:val="both"/>
        <w:rPr>
          <w:rFonts w:ascii="Times New Roman" w:hAnsi="Times New Roman"/>
          <w:sz w:val="22"/>
          <w:szCs w:val="22"/>
        </w:rPr>
      </w:pPr>
      <w:r w:rsidRPr="00C60D44">
        <w:rPr>
          <w:rFonts w:ascii="Times New Roman" w:hAnsi="Times New Roman"/>
          <w:sz w:val="22"/>
          <w:szCs w:val="22"/>
        </w:rPr>
        <w:t xml:space="preserve">York, A. W.; Huang, F.; McCormick, C. L.; (2009) </w:t>
      </w:r>
      <w:r w:rsidRPr="00C60D44">
        <w:rPr>
          <w:rFonts w:ascii="Times New Roman" w:hAnsi="Times New Roman"/>
          <w:i/>
          <w:sz w:val="22"/>
          <w:szCs w:val="22"/>
        </w:rPr>
        <w:t>Biomacromolecules, 11</w:t>
      </w:r>
      <w:r w:rsidRPr="00C60D44">
        <w:rPr>
          <w:rFonts w:ascii="Times New Roman" w:hAnsi="Times New Roman"/>
          <w:sz w:val="22"/>
          <w:szCs w:val="22"/>
        </w:rPr>
        <w:t>, 505-514</w:t>
      </w:r>
    </w:p>
    <w:p w14:paraId="5BBF1B82" w14:textId="77777777" w:rsidR="00590FD5" w:rsidRDefault="00590FD5" w:rsidP="00590FD5">
      <w:pPr>
        <w:pStyle w:val="DarkList-Accent51"/>
        <w:numPr>
          <w:ilvl w:val="0"/>
          <w:numId w:val="1"/>
        </w:numPr>
        <w:jc w:val="both"/>
        <w:rPr>
          <w:rFonts w:ascii="Times New Roman" w:hAnsi="Times New Roman"/>
          <w:sz w:val="22"/>
          <w:szCs w:val="22"/>
        </w:rPr>
      </w:pPr>
      <w:r w:rsidRPr="00C60D44">
        <w:rPr>
          <w:rFonts w:ascii="Times New Roman" w:hAnsi="Times New Roman"/>
          <w:sz w:val="22"/>
          <w:szCs w:val="22"/>
        </w:rPr>
        <w:t xml:space="preserve">Kang, S. I.; Bae, Y. H.; (2005) </w:t>
      </w:r>
      <w:r w:rsidRPr="00C60D44">
        <w:rPr>
          <w:rFonts w:ascii="Times New Roman" w:hAnsi="Times New Roman"/>
          <w:i/>
          <w:sz w:val="22"/>
          <w:szCs w:val="22"/>
        </w:rPr>
        <w:t>J. Control. Release, 80</w:t>
      </w:r>
      <w:r w:rsidRPr="00C60D44">
        <w:rPr>
          <w:rFonts w:ascii="Times New Roman" w:hAnsi="Times New Roman"/>
          <w:sz w:val="22"/>
          <w:szCs w:val="22"/>
        </w:rPr>
        <w:t>, 145-155</w:t>
      </w:r>
    </w:p>
    <w:p w14:paraId="4D8F2F61" w14:textId="77777777" w:rsidR="00733AE2" w:rsidRPr="00C60D44" w:rsidRDefault="00733AE2" w:rsidP="00590FD5">
      <w:pPr>
        <w:pStyle w:val="DarkList-Accent51"/>
        <w:numPr>
          <w:ilvl w:val="0"/>
          <w:numId w:val="1"/>
        </w:numPr>
        <w:jc w:val="both"/>
        <w:rPr>
          <w:rFonts w:ascii="Times New Roman" w:hAnsi="Times New Roman"/>
          <w:sz w:val="22"/>
          <w:szCs w:val="22"/>
        </w:rPr>
      </w:pPr>
      <w:r>
        <w:rPr>
          <w:rFonts w:ascii="Times New Roman" w:hAnsi="Times New Roman"/>
          <w:sz w:val="22"/>
          <w:szCs w:val="22"/>
        </w:rPr>
        <w:t>Abel, B.A.; Sims, M.B.; McCormick, C.L. (</w:t>
      </w:r>
      <w:r>
        <w:rPr>
          <w:rFonts w:ascii="Times New Roman" w:hAnsi="Times New Roman"/>
          <w:i/>
          <w:sz w:val="22"/>
          <w:szCs w:val="22"/>
        </w:rPr>
        <w:t>manuscript in preparation</w:t>
      </w:r>
      <w:r>
        <w:rPr>
          <w:rFonts w:ascii="Times New Roman" w:hAnsi="Times New Roman"/>
          <w:sz w:val="22"/>
          <w:szCs w:val="22"/>
        </w:rPr>
        <w:t>)</w:t>
      </w:r>
    </w:p>
    <w:p w14:paraId="09197E53" w14:textId="77777777" w:rsidR="00590FD5" w:rsidRPr="00C60D44" w:rsidRDefault="00590FD5" w:rsidP="000B137C">
      <w:pPr>
        <w:pStyle w:val="DarkList-Accent51"/>
        <w:numPr>
          <w:ilvl w:val="0"/>
          <w:numId w:val="1"/>
        </w:numPr>
        <w:jc w:val="both"/>
        <w:rPr>
          <w:rFonts w:ascii="Times New Roman" w:hAnsi="Times New Roman"/>
          <w:sz w:val="22"/>
          <w:szCs w:val="22"/>
        </w:rPr>
      </w:pPr>
      <w:proofErr w:type="spellStart"/>
      <w:r w:rsidRPr="00C60D44">
        <w:rPr>
          <w:rFonts w:ascii="Times New Roman" w:hAnsi="Times New Roman"/>
          <w:sz w:val="22"/>
          <w:szCs w:val="22"/>
        </w:rPr>
        <w:t>Deshayes</w:t>
      </w:r>
      <w:proofErr w:type="spellEnd"/>
      <w:r w:rsidRPr="00C60D44">
        <w:rPr>
          <w:rFonts w:ascii="Times New Roman" w:hAnsi="Times New Roman"/>
          <w:sz w:val="22"/>
          <w:szCs w:val="22"/>
        </w:rPr>
        <w:t xml:space="preserve">, S.; Morris, M. C.; </w:t>
      </w:r>
      <w:proofErr w:type="spellStart"/>
      <w:r w:rsidRPr="00C60D44">
        <w:rPr>
          <w:rFonts w:ascii="Times New Roman" w:hAnsi="Times New Roman"/>
          <w:sz w:val="22"/>
          <w:szCs w:val="22"/>
        </w:rPr>
        <w:t>Divita</w:t>
      </w:r>
      <w:proofErr w:type="spellEnd"/>
      <w:r w:rsidRPr="00C60D44">
        <w:rPr>
          <w:rFonts w:ascii="Times New Roman" w:hAnsi="Times New Roman"/>
          <w:sz w:val="22"/>
          <w:szCs w:val="22"/>
        </w:rPr>
        <w:t xml:space="preserve">, G.; </w:t>
      </w:r>
      <w:proofErr w:type="spellStart"/>
      <w:r w:rsidRPr="00C60D44">
        <w:rPr>
          <w:rFonts w:ascii="Times New Roman" w:hAnsi="Times New Roman"/>
          <w:sz w:val="22"/>
          <w:szCs w:val="22"/>
        </w:rPr>
        <w:t>Heitz</w:t>
      </w:r>
      <w:proofErr w:type="spellEnd"/>
      <w:r w:rsidRPr="00C60D44">
        <w:rPr>
          <w:rFonts w:ascii="Times New Roman" w:hAnsi="Times New Roman"/>
          <w:sz w:val="22"/>
          <w:szCs w:val="22"/>
        </w:rPr>
        <w:t xml:space="preserve">, F.; (2005) </w:t>
      </w:r>
      <w:r w:rsidRPr="00C60D44">
        <w:rPr>
          <w:rFonts w:ascii="Times New Roman" w:hAnsi="Times New Roman"/>
          <w:i/>
          <w:sz w:val="22"/>
          <w:szCs w:val="22"/>
        </w:rPr>
        <w:t>Cell. Mol. Life Sci., 62,</w:t>
      </w:r>
      <w:r w:rsidRPr="00C60D44">
        <w:rPr>
          <w:rFonts w:ascii="Times New Roman" w:hAnsi="Times New Roman"/>
          <w:sz w:val="22"/>
          <w:szCs w:val="22"/>
        </w:rPr>
        <w:t xml:space="preserve"> 1839-1849</w:t>
      </w:r>
    </w:p>
    <w:sectPr w:rsidR="00590FD5" w:rsidRPr="00C60D44" w:rsidSect="00C60D44">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51CAE" w14:textId="77777777" w:rsidR="006C6BCB" w:rsidRDefault="006C6BCB" w:rsidP="00590FD5">
      <w:r>
        <w:separator/>
      </w:r>
    </w:p>
  </w:endnote>
  <w:endnote w:type="continuationSeparator" w:id="0">
    <w:p w14:paraId="3472D439" w14:textId="77777777" w:rsidR="006C6BCB" w:rsidRDefault="006C6BCB" w:rsidP="0059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6CD39" w14:textId="77777777" w:rsidR="006C6BCB" w:rsidRDefault="006C6BCB" w:rsidP="00590FD5">
      <w:r>
        <w:separator/>
      </w:r>
    </w:p>
  </w:footnote>
  <w:footnote w:type="continuationSeparator" w:id="0">
    <w:p w14:paraId="0A36A16F" w14:textId="77777777" w:rsidR="006C6BCB" w:rsidRDefault="006C6BCB" w:rsidP="00590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C19B" w14:textId="3742C60C" w:rsidR="00917933" w:rsidRPr="00115EB1" w:rsidRDefault="00917933">
    <w:pPr>
      <w:pStyle w:val="Header"/>
    </w:pPr>
    <w:r w:rsidRPr="00115EB1">
      <w:rPr>
        <w:rFonts w:ascii="Times New Roman" w:hAnsi="Times New Roman"/>
        <w:color w:val="000000"/>
        <w:szCs w:val="20"/>
      </w:rPr>
      <w:tab/>
      <w:t>Goldwater Scholarship 201</w:t>
    </w:r>
    <w:r>
      <w:rPr>
        <w:rFonts w:ascii="Times New Roman" w:hAnsi="Times New Roman"/>
        <w:color w:val="00000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5832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5D2B1B"/>
    <w:multiLevelType w:val="hybridMultilevel"/>
    <w:tmpl w:val="BF607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6909526">
    <w:abstractNumId w:val="1"/>
  </w:num>
  <w:num w:numId="2" w16cid:durableId="1879707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EB1"/>
    <w:rsid w:val="0002466A"/>
    <w:rsid w:val="000B137C"/>
    <w:rsid w:val="000C32FF"/>
    <w:rsid w:val="00115EB1"/>
    <w:rsid w:val="002078AA"/>
    <w:rsid w:val="00227A58"/>
    <w:rsid w:val="0023193E"/>
    <w:rsid w:val="00236798"/>
    <w:rsid w:val="002A5078"/>
    <w:rsid w:val="002C66EA"/>
    <w:rsid w:val="00341A07"/>
    <w:rsid w:val="00341FF3"/>
    <w:rsid w:val="00586693"/>
    <w:rsid w:val="00590FD5"/>
    <w:rsid w:val="006035D1"/>
    <w:rsid w:val="00617B03"/>
    <w:rsid w:val="006C6BCB"/>
    <w:rsid w:val="00733AE2"/>
    <w:rsid w:val="00822335"/>
    <w:rsid w:val="0084471B"/>
    <w:rsid w:val="008826B7"/>
    <w:rsid w:val="008B1ACD"/>
    <w:rsid w:val="00917933"/>
    <w:rsid w:val="0092751C"/>
    <w:rsid w:val="009E4F3B"/>
    <w:rsid w:val="00A26EEC"/>
    <w:rsid w:val="00B578A2"/>
    <w:rsid w:val="00B92A94"/>
    <w:rsid w:val="00BE1C6B"/>
    <w:rsid w:val="00C52170"/>
    <w:rsid w:val="00C60D44"/>
    <w:rsid w:val="00C9652A"/>
    <w:rsid w:val="00C976E9"/>
    <w:rsid w:val="00D5769A"/>
    <w:rsid w:val="00D85D6F"/>
    <w:rsid w:val="00DD110C"/>
    <w:rsid w:val="00E5437E"/>
    <w:rsid w:val="00E72391"/>
    <w:rsid w:val="00FB0E47"/>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8CDAC9"/>
  <w14:defaultImageDpi w14:val="300"/>
  <w15:chartTrackingRefBased/>
  <w15:docId w15:val="{520F4E58-3A0A-4B73-B9ED-6E1BED69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5DA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EB1"/>
    <w:pPr>
      <w:tabs>
        <w:tab w:val="center" w:pos="4320"/>
        <w:tab w:val="right" w:pos="8640"/>
      </w:tabs>
    </w:pPr>
  </w:style>
  <w:style w:type="character" w:customStyle="1" w:styleId="HeaderChar">
    <w:name w:val="Header Char"/>
    <w:basedOn w:val="DefaultParagraphFont"/>
    <w:link w:val="Header"/>
    <w:uiPriority w:val="99"/>
    <w:rsid w:val="00115EB1"/>
  </w:style>
  <w:style w:type="paragraph" w:styleId="Footer">
    <w:name w:val="footer"/>
    <w:basedOn w:val="Normal"/>
    <w:link w:val="FooterChar"/>
    <w:uiPriority w:val="99"/>
    <w:unhideWhenUsed/>
    <w:rsid w:val="00115EB1"/>
    <w:pPr>
      <w:tabs>
        <w:tab w:val="center" w:pos="4320"/>
        <w:tab w:val="right" w:pos="8640"/>
      </w:tabs>
    </w:pPr>
  </w:style>
  <w:style w:type="character" w:customStyle="1" w:styleId="FooterChar">
    <w:name w:val="Footer Char"/>
    <w:basedOn w:val="DefaultParagraphFont"/>
    <w:link w:val="Footer"/>
    <w:uiPriority w:val="99"/>
    <w:rsid w:val="00115EB1"/>
  </w:style>
  <w:style w:type="paragraph" w:customStyle="1" w:styleId="DarkList-Accent51">
    <w:name w:val="Dark List - Accent 51"/>
    <w:basedOn w:val="Normal"/>
    <w:uiPriority w:val="34"/>
    <w:qFormat/>
    <w:rsid w:val="002A415D"/>
    <w:pPr>
      <w:ind w:left="720"/>
      <w:contextualSpacing/>
    </w:pPr>
  </w:style>
  <w:style w:type="character" w:styleId="CommentReference">
    <w:name w:val="annotation reference"/>
    <w:uiPriority w:val="99"/>
    <w:semiHidden/>
    <w:unhideWhenUsed/>
    <w:rsid w:val="00A417E8"/>
    <w:rPr>
      <w:sz w:val="16"/>
      <w:szCs w:val="16"/>
    </w:rPr>
  </w:style>
  <w:style w:type="paragraph" w:styleId="CommentText">
    <w:name w:val="annotation text"/>
    <w:basedOn w:val="Normal"/>
    <w:link w:val="CommentTextChar"/>
    <w:uiPriority w:val="99"/>
    <w:semiHidden/>
    <w:unhideWhenUsed/>
    <w:rsid w:val="00A417E8"/>
    <w:rPr>
      <w:sz w:val="20"/>
      <w:szCs w:val="20"/>
      <w:lang w:val="x-none" w:eastAsia="x-none"/>
    </w:rPr>
  </w:style>
  <w:style w:type="character" w:customStyle="1" w:styleId="CommentTextChar">
    <w:name w:val="Comment Text Char"/>
    <w:link w:val="CommentText"/>
    <w:uiPriority w:val="99"/>
    <w:semiHidden/>
    <w:rsid w:val="00A417E8"/>
    <w:rPr>
      <w:sz w:val="20"/>
      <w:szCs w:val="20"/>
    </w:rPr>
  </w:style>
  <w:style w:type="paragraph" w:styleId="CommentSubject">
    <w:name w:val="annotation subject"/>
    <w:basedOn w:val="CommentText"/>
    <w:next w:val="CommentText"/>
    <w:link w:val="CommentSubjectChar"/>
    <w:uiPriority w:val="99"/>
    <w:semiHidden/>
    <w:unhideWhenUsed/>
    <w:rsid w:val="00A417E8"/>
    <w:rPr>
      <w:b/>
      <w:bCs/>
    </w:rPr>
  </w:style>
  <w:style w:type="character" w:customStyle="1" w:styleId="CommentSubjectChar">
    <w:name w:val="Comment Subject Char"/>
    <w:link w:val="CommentSubject"/>
    <w:uiPriority w:val="99"/>
    <w:semiHidden/>
    <w:rsid w:val="00A417E8"/>
    <w:rPr>
      <w:b/>
      <w:bCs/>
      <w:sz w:val="20"/>
      <w:szCs w:val="20"/>
    </w:rPr>
  </w:style>
  <w:style w:type="paragraph" w:styleId="BalloonText">
    <w:name w:val="Balloon Text"/>
    <w:basedOn w:val="Normal"/>
    <w:link w:val="BalloonTextChar"/>
    <w:uiPriority w:val="99"/>
    <w:semiHidden/>
    <w:unhideWhenUsed/>
    <w:rsid w:val="00A417E8"/>
    <w:rPr>
      <w:rFonts w:ascii="Tahoma" w:hAnsi="Tahoma"/>
      <w:sz w:val="16"/>
      <w:szCs w:val="16"/>
      <w:lang w:val="x-none" w:eastAsia="x-none"/>
    </w:rPr>
  </w:style>
  <w:style w:type="character" w:customStyle="1" w:styleId="BalloonTextChar">
    <w:name w:val="Balloon Text Char"/>
    <w:link w:val="BalloonText"/>
    <w:uiPriority w:val="99"/>
    <w:semiHidden/>
    <w:rsid w:val="00A417E8"/>
    <w:rPr>
      <w:rFonts w:ascii="Tahoma" w:hAnsi="Tahoma" w:cs="Tahoma"/>
      <w:sz w:val="16"/>
      <w:szCs w:val="16"/>
    </w:rPr>
  </w:style>
  <w:style w:type="paragraph" w:customStyle="1" w:styleId="MediumGrid3-Accent51">
    <w:name w:val="Medium Grid 3 - Accent 51"/>
    <w:hidden/>
    <w:uiPriority w:val="99"/>
    <w:semiHidden/>
    <w:rsid w:val="00DE4009"/>
    <w:rPr>
      <w:sz w:val="24"/>
      <w:szCs w:val="24"/>
      <w:lang w:eastAsia="en-US"/>
    </w:rPr>
  </w:style>
  <w:style w:type="paragraph" w:customStyle="1" w:styleId="LightShading-Accent51">
    <w:name w:val="Light Shading - Accent 51"/>
    <w:hidden/>
    <w:rsid w:val="00F4030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708838">
      <w:bodyDiv w:val="1"/>
      <w:marLeft w:val="0"/>
      <w:marRight w:val="0"/>
      <w:marTop w:val="0"/>
      <w:marBottom w:val="0"/>
      <w:divBdr>
        <w:top w:val="none" w:sz="0" w:space="0" w:color="auto"/>
        <w:left w:val="none" w:sz="0" w:space="0" w:color="auto"/>
        <w:bottom w:val="none" w:sz="0" w:space="0" w:color="auto"/>
        <w:right w:val="none" w:sz="0" w:space="0" w:color="auto"/>
      </w:divBdr>
      <w:divsChild>
        <w:div w:id="414324757">
          <w:marLeft w:val="0"/>
          <w:marRight w:val="0"/>
          <w:marTop w:val="0"/>
          <w:marBottom w:val="0"/>
          <w:divBdr>
            <w:top w:val="none" w:sz="0" w:space="0" w:color="auto"/>
            <w:left w:val="none" w:sz="0" w:space="0" w:color="auto"/>
            <w:bottom w:val="none" w:sz="0" w:space="0" w:color="auto"/>
            <w:right w:val="none" w:sz="0" w:space="0" w:color="auto"/>
          </w:divBdr>
          <w:divsChild>
            <w:div w:id="1559975542">
              <w:marLeft w:val="0"/>
              <w:marRight w:val="0"/>
              <w:marTop w:val="0"/>
              <w:marBottom w:val="0"/>
              <w:divBdr>
                <w:top w:val="none" w:sz="0" w:space="0" w:color="auto"/>
                <w:left w:val="none" w:sz="0" w:space="0" w:color="auto"/>
                <w:bottom w:val="none" w:sz="0" w:space="0" w:color="auto"/>
                <w:right w:val="none" w:sz="0" w:space="0" w:color="auto"/>
              </w:divBdr>
              <w:divsChild>
                <w:div w:id="72051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3AF02-548E-4F01-A7D0-9041249AA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Sims</dc:creator>
  <cp:keywords/>
  <cp:lastModifiedBy>Zachary Ahmad</cp:lastModifiedBy>
  <cp:revision>3</cp:revision>
  <dcterms:created xsi:type="dcterms:W3CDTF">2020-07-16T18:32:00Z</dcterms:created>
  <dcterms:modified xsi:type="dcterms:W3CDTF">2022-07-30T00:02:00Z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ies>
</file>